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7" w:name="_GoBack"/>
      <w: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-1095375</wp:posOffset>
            </wp:positionH>
            <wp:positionV relativeFrom="page">
              <wp:posOffset>200025</wp:posOffset>
            </wp:positionV>
            <wp:extent cx="9636760" cy="10692130"/>
            <wp:effectExtent l="0" t="0" r="2540" b="13970"/>
            <wp:wrapNone/>
            <wp:docPr id="1" name="Cover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verBackground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63676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7"/>
    </w:p>
    <w:p>
      <w:pPr>
        <w:spacing w:before="5000"/>
      </w:pPr>
    </w:p>
    <w:p>
      <w:pPr>
        <w:spacing w:after="200"/>
        <w:jc w:val="center"/>
      </w:pPr>
      <w:r>
        <w:rPr>
          <w:rFonts w:eastAsia="黑体"/>
          <w:color w:val="FFFFFF"/>
          <w:sz w:val="72"/>
        </w:rPr>
        <w:t>Kboss</w:t>
      </w:r>
    </w:p>
    <w:p>
      <w:pPr>
        <w:spacing w:after="600"/>
        <w:jc w:val="center"/>
      </w:pPr>
      <w:r>
        <w:rPr>
          <w:color w:val="FFFFFF"/>
          <w:sz w:val="44"/>
        </w:rPr>
        <w:t>产品技术文档</w:t>
      </w:r>
    </w:p>
    <w:p>
      <w:pPr>
        <w:spacing w:after="200"/>
        <w:jc w:val="center"/>
        <w:rPr>
          <w:sz w:val="24"/>
          <w:szCs w:val="24"/>
        </w:rPr>
      </w:pPr>
      <w:r>
        <w:rPr>
          <w:color w:val="BFDBFE"/>
          <w:sz w:val="24"/>
          <w:szCs w:val="24"/>
        </w:rPr>
        <w:t>云资源综合管理系统</w:t>
      </w:r>
    </w:p>
    <w:p>
      <w:pPr>
        <w:jc w:val="center"/>
      </w:pPr>
      <w:r>
        <w:rPr>
          <w:color w:val="93C5FD"/>
          <w:sz w:val="18"/>
        </w:rPr>
        <w:t>2025年1月</w:t>
      </w:r>
    </w:p>
    <w:p>
      <w:pPr>
        <w:sectPr>
          <w:pgSz w:w="11906" w:h="16838"/>
          <w:pgMar w:top="0" w:right="0" w:bottom="0" w:left="0" w:header="0" w:footer="0" w:gutter="0"/>
          <w:cols w:space="720" w:num="1"/>
        </w:sectPr>
      </w:pPr>
    </w:p>
    <w:p>
      <w:pPr>
        <w:pStyle w:val="2"/>
      </w:pPr>
      <w:bookmarkStart w:id="0" w:name="_Toc000"/>
      <w:r>
        <w:t>目录</w:t>
      </w:r>
      <w:bookmarkEnd w:id="0"/>
      <w:r>
        <w:fldChar w:fldCharType="begin"/>
      </w:r>
      <w:r>
        <w:instrText xml:space="preserve"> TOC \o "1-3" \h \z \u </w:instrText>
      </w:r>
      <w:r>
        <w:fldChar w:fldCharType="separate"/>
      </w:r>
    </w:p>
    <w:p>
      <w:pPr>
        <w:pStyle w:val="5"/>
      </w:pPr>
      <w:r>
        <w:t>系统概述</w:t>
      </w:r>
      <w:r>
        <w:tab/>
      </w:r>
      <w:r>
        <w:t>3</w:t>
      </w:r>
    </w:p>
    <w:p>
      <w:pPr>
        <w:pStyle w:val="5"/>
      </w:pPr>
      <w:r>
        <w:t>技术架构</w:t>
      </w:r>
      <w:r>
        <w:tab/>
      </w:r>
      <w:r>
        <w:t>4</w:t>
      </w:r>
    </w:p>
    <w:p>
      <w:pPr>
        <w:pStyle w:val="6"/>
      </w:pPr>
      <w:r>
        <w:t>服务器配置</w:t>
      </w:r>
      <w:r>
        <w:tab/>
      </w:r>
      <w:r>
        <w:t>4</w:t>
      </w:r>
    </w:p>
    <w:p>
      <w:pPr>
        <w:pStyle w:val="6"/>
      </w:pPr>
      <w:r>
        <w:t>技术栈</w:t>
      </w:r>
      <w:r>
        <w:tab/>
      </w:r>
      <w:r>
        <w:t>5</w:t>
      </w:r>
    </w:p>
    <w:p>
      <w:pPr>
        <w:pStyle w:val="5"/>
      </w:pPr>
      <w:r>
        <w:t>核心功能模块</w:t>
      </w:r>
      <w:r>
        <w:tab/>
      </w:r>
      <w:r>
        <w:t>6</w:t>
      </w:r>
    </w:p>
    <w:p>
      <w:pPr>
        <w:pStyle w:val="6"/>
      </w:pPr>
      <w:r>
        <w:t>客户管理模块</w:t>
      </w:r>
      <w:r>
        <w:tab/>
      </w:r>
      <w:r>
        <w:t>6</w:t>
      </w:r>
    </w:p>
    <w:p>
      <w:pPr>
        <w:pStyle w:val="6"/>
      </w:pPr>
      <w:r>
        <w:t>产品管理模块</w:t>
      </w:r>
      <w:r>
        <w:tab/>
      </w:r>
      <w:r>
        <w:t>7</w:t>
      </w:r>
    </w:p>
    <w:p>
      <w:pPr>
        <w:pStyle w:val="6"/>
      </w:pPr>
      <w:r>
        <w:t>销售管理模块</w:t>
      </w:r>
      <w:r>
        <w:tab/>
      </w:r>
      <w:r>
        <w:t>8</w:t>
      </w:r>
    </w:p>
    <w:p>
      <w:pPr>
        <w:pStyle w:val="6"/>
      </w:pPr>
      <w:r>
        <w:t>运营管理模块</w:t>
      </w:r>
      <w:r>
        <w:tab/>
      </w:r>
      <w:r>
        <w:t>9</w:t>
      </w:r>
    </w:p>
    <w:p>
      <w:pPr>
        <w:pStyle w:val="5"/>
      </w:pPr>
      <w:r>
        <w:t>财务管理</w:t>
      </w:r>
      <w:r>
        <w:tab/>
      </w:r>
      <w:r>
        <w:t>10</w:t>
      </w:r>
    </w:p>
    <w:p>
      <w:pPr>
        <w:pStyle w:val="5"/>
      </w:pPr>
      <w:r>
        <w:t>系统安全</w:t>
      </w:r>
      <w:r>
        <w:tab/>
      </w:r>
      <w:r>
        <w:t>11</w:t>
      </w:r>
    </w:p>
    <w:p>
      <w:pPr>
        <w:pStyle w:val="5"/>
      </w:pPr>
      <w:r>
        <w:t>监控运维</w:t>
      </w:r>
      <w:r>
        <w:tab/>
      </w:r>
      <w:r>
        <w:t>12</w:t>
      </w:r>
    </w:p>
    <w:p>
      <w:r>
        <w:fldChar w:fldCharType="end"/>
      </w:r>
    </w:p>
    <w:p>
      <w:pPr>
        <w:sectPr>
          <w:pgSz w:w="11906" w:h="16838"/>
          <w:pgMar w:top="1800" w:right="1440" w:bottom="1440" w:left="1440" w:header="720" w:footer="720" w:gutter="0"/>
          <w:cols w:space="720" w:num="1"/>
        </w:sectPr>
      </w:pPr>
    </w:p>
    <w:p>
      <w:pPr>
        <w:pStyle w:val="2"/>
      </w:pPr>
      <w:bookmarkStart w:id="1" w:name="_Toc001"/>
      <w:r>
        <w:t>系统概述</w:t>
      </w:r>
      <w:bookmarkEnd w:id="1"/>
    </w:p>
    <w:p>
      <w:pPr>
        <w:pStyle w:val="3"/>
      </w:pPr>
      <w:r>
        <w:t>产品简介</w:t>
      </w:r>
    </w:p>
    <w:p>
      <w:r>
        <w:t>Kboss管理后台是一款面向云计算行业的综合性业务管理系统，集客户信息管理、订单处理、资源整合、财务结算等功能于一体。系统采用业界领先的B/S架构设计，支持多租户、多角色的精细化权限管理，为企业提供从客户获取到服务交付的全流程数字化解决方案。</w:t>
      </w:r>
    </w:p>
    <w:p>
      <w:pPr>
        <w:pStyle w:val="3"/>
      </w:pPr>
      <w:r>
        <w:t>核心价值</w:t>
      </w:r>
    </w:p>
    <w:p>
      <w:pPr>
        <w:ind w:left="420" w:hanging="420"/>
      </w:pPr>
      <w:r>
        <w:t xml:space="preserve">• </w:t>
      </w:r>
      <w:r>
        <w:rPr>
          <w:b/>
        </w:rPr>
        <w:t>资源整合</w:t>
      </w:r>
      <w:r>
        <w:t>：统一接入百度智能云、阿里云、京东云、火山引擎等主流公有云平台，以及超算中心智算资源</w:t>
      </w:r>
    </w:p>
    <w:p>
      <w:pPr>
        <w:ind w:left="420" w:hanging="420"/>
      </w:pPr>
      <w:r>
        <w:t xml:space="preserve">• </w:t>
      </w:r>
      <w:r>
        <w:rPr>
          <w:b/>
        </w:rPr>
        <w:t>优惠体系</w:t>
      </w:r>
      <w:r>
        <w:t>：客户在平台选购云产品可享受专属折扣，实现“一站式采购、一站式管理”</w:t>
      </w:r>
    </w:p>
    <w:p>
      <w:pPr>
        <w:ind w:left="420" w:hanging="420"/>
      </w:pPr>
      <w:r>
        <w:t xml:space="preserve">• </w:t>
      </w:r>
      <w:r>
        <w:rPr>
          <w:b/>
        </w:rPr>
        <w:t>无纸化办公</w:t>
      </w:r>
      <w:r>
        <w:t>：支持销售、运营、财务等角色的全流程线上协作，提升运营效率</w:t>
      </w:r>
    </w:p>
    <w:p>
      <w:pPr>
        <w:ind w:left="420" w:hanging="420"/>
      </w:pPr>
      <w:r>
        <w:t xml:space="preserve">• </w:t>
      </w:r>
      <w:r>
        <w:rPr>
          <w:b/>
        </w:rPr>
        <w:t>灵活分销</w:t>
      </w:r>
      <w:r>
        <w:t>：支持多级分销体系，分销商拥有独立的客户管理和价格管理能力</w:t>
      </w:r>
    </w:p>
    <w:p>
      <w:r>
        <w:br w:type="page"/>
      </w:r>
    </w:p>
    <w:p>
      <w:pPr>
        <w:pStyle w:val="2"/>
      </w:pPr>
      <w:bookmarkStart w:id="2" w:name="_Toc002"/>
      <w:r>
        <w:t>技术架构</w:t>
      </w:r>
      <w:bookmarkEnd w:id="2"/>
    </w:p>
    <w:p>
      <w:pPr>
        <w:pStyle w:val="3"/>
      </w:pPr>
      <w:r>
        <w:t>服务器配置</w:t>
      </w:r>
    </w:p>
    <w:p>
      <w:pPr>
        <w:keepNext/>
        <w:spacing w:before="200"/>
      </w:pPr>
      <w:r>
        <w:t>系统部署环境配置如下：</w:t>
      </w:r>
    </w:p>
    <w:tbl>
      <w:tblPr>
        <w:tblStyle w:val="7"/>
        <w:tblW w:w="5000" w:type="pct"/>
        <w:tblInd w:w="0" w:type="dxa"/>
        <w:tblBorders>
          <w:top w:val="single" w:color="2563EB" w:sz="12" w:space="0"/>
          <w:left w:val="none" w:color="auto" w:sz="0" w:space="0"/>
          <w:bottom w:val="single" w:color="2563EB" w:sz="12" w:space="0"/>
          <w:right w:val="none" w:color="auto" w:sz="0" w:space="0"/>
          <w:insideH w:val="single" w:color="BFDBFE" w:sz="4" w:space="0"/>
          <w:insideV w:val="none" w:color="auto" w:sz="0" w:space="0"/>
        </w:tblBorders>
        <w:tblLayout w:type="autofit"/>
        <w:tblCellMar>
          <w:top w:w="100" w:type="dxa"/>
          <w:left w:w="150" w:type="dxa"/>
          <w:bottom w:w="100" w:type="dxa"/>
          <w:right w:w="150" w:type="dxa"/>
        </w:tblCellMar>
      </w:tblPr>
      <w:tblGrid>
        <w:gridCol w:w="2743"/>
        <w:gridCol w:w="3840"/>
        <w:gridCol w:w="2743"/>
      </w:tblGrid>
      <w:tr>
        <w:tblPrEx>
          <w:tblBorders>
            <w:top w:val="single" w:color="2563EB" w:sz="12" w:space="0"/>
            <w:left w:val="none" w:color="auto" w:sz="0" w:space="0"/>
            <w:bottom w:val="single" w:color="2563EB" w:sz="12" w:space="0"/>
            <w:right w:val="none" w:color="auto" w:sz="0" w:space="0"/>
            <w:insideH w:val="single" w:color="BFDBFE" w:sz="4" w:space="0"/>
            <w:insideV w:val="none" w:color="auto" w:sz="0" w:space="0"/>
          </w:tblBorders>
          <w:tblCellMar>
            <w:top w:w="100" w:type="dxa"/>
            <w:left w:w="150" w:type="dxa"/>
            <w:bottom w:w="100" w:type="dxa"/>
            <w:right w:w="150" w:type="dxa"/>
          </w:tblCellMar>
        </w:tblPrEx>
        <w:trPr>
          <w:trHeight w:val="400" w:hRule="atLeast"/>
          <w:tblHeader/>
        </w:trPr>
        <w:tc>
          <w:tcPr>
            <w:tcW w:w="2500" w:type="dxa"/>
            <w:tcBorders>
              <w:bottom w:val="single" w:color="2563EB" w:sz="6" w:space="0"/>
            </w:tcBorders>
            <w:shd w:val="clear" w:color="auto" w:fill="EFF6FF"/>
            <w:vAlign w:val="center"/>
          </w:tcPr>
          <w:p>
            <w:pPr>
              <w:spacing w:before="0" w:after="0"/>
              <w:jc w:val="center"/>
            </w:pPr>
            <w:r>
              <w:rPr>
                <w:b/>
                <w:color w:val="1E3A5F"/>
                <w:sz w:val="21"/>
              </w:rPr>
              <w:t>环境</w:t>
            </w:r>
          </w:p>
        </w:tc>
        <w:tc>
          <w:tcPr>
            <w:tcW w:w="3500" w:type="dxa"/>
            <w:tcBorders>
              <w:bottom w:val="single" w:color="2563EB" w:sz="6" w:space="0"/>
            </w:tcBorders>
            <w:shd w:val="clear" w:color="auto" w:fill="EFF6FF"/>
            <w:vAlign w:val="center"/>
          </w:tcPr>
          <w:p>
            <w:pPr>
              <w:spacing w:before="0" w:after="0"/>
              <w:jc w:val="center"/>
            </w:pPr>
            <w:r>
              <w:rPr>
                <w:b/>
                <w:color w:val="1E3A5F"/>
                <w:sz w:val="21"/>
              </w:rPr>
              <w:t>服务器地址</w:t>
            </w:r>
          </w:p>
        </w:tc>
        <w:tc>
          <w:tcPr>
            <w:tcW w:w="2500" w:type="dxa"/>
            <w:tcBorders>
              <w:bottom w:val="single" w:color="2563EB" w:sz="6" w:space="0"/>
            </w:tcBorders>
            <w:shd w:val="clear" w:color="auto" w:fill="EFF6FF"/>
            <w:vAlign w:val="center"/>
          </w:tcPr>
          <w:p>
            <w:pPr>
              <w:spacing w:before="0" w:after="0"/>
              <w:jc w:val="center"/>
            </w:pPr>
            <w:r>
              <w:rPr>
                <w:b/>
                <w:color w:val="1E3A5F"/>
                <w:sz w:val="21"/>
              </w:rPr>
              <w:t>用途</w:t>
            </w:r>
          </w:p>
        </w:tc>
      </w:tr>
      <w:tr>
        <w:tblPrEx>
          <w:tblBorders>
            <w:top w:val="single" w:color="2563EB" w:sz="12" w:space="0"/>
            <w:left w:val="none" w:color="auto" w:sz="0" w:space="0"/>
            <w:bottom w:val="single" w:color="2563EB" w:sz="12" w:space="0"/>
            <w:right w:val="none" w:color="auto" w:sz="0" w:space="0"/>
            <w:insideH w:val="single" w:color="BFDBFE" w:sz="4" w:space="0"/>
            <w:insideV w:val="none" w:color="auto" w:sz="0" w:space="0"/>
          </w:tblBorders>
          <w:tblCellMar>
            <w:top w:w="100" w:type="dxa"/>
            <w:left w:w="150" w:type="dxa"/>
            <w:bottom w:w="100" w:type="dxa"/>
            <w:right w:w="150" w:type="dxa"/>
          </w:tblCellMar>
        </w:tblPrEx>
        <w:trPr>
          <w:trHeight w:val="380" w:hRule="atLeast"/>
        </w:trPr>
        <w:tc>
          <w:tcPr>
            <w:tcW w:w="2500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color w:val="1F2937"/>
                <w:sz w:val="21"/>
              </w:rPr>
              <w:t>生产环境</w:t>
            </w:r>
          </w:p>
        </w:tc>
        <w:tc>
          <w:tcPr>
            <w:tcW w:w="3500" w:type="dxa"/>
            <w:vAlign w:val="center"/>
          </w:tcPr>
          <w:p>
            <w:pPr>
              <w:spacing w:before="0" w:after="0"/>
              <w:jc w:val="left"/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color w:val="1F2937"/>
                <w:sz w:val="21"/>
                <w:lang w:val="en-US" w:eastAsia="zh-CN"/>
              </w:rPr>
              <w:t>5</w:t>
            </w:r>
            <w:r>
              <w:rPr>
                <w:color w:val="1F2937"/>
                <w:sz w:val="21"/>
              </w:rPr>
              <w:t>7.39.</w:t>
            </w:r>
            <w:r>
              <w:rPr>
                <w:rFonts w:hint="eastAsia"/>
                <w:color w:val="1F2937"/>
                <w:sz w:val="21"/>
                <w:lang w:val="en-US" w:eastAsia="zh-CN"/>
              </w:rPr>
              <w:t>2</w:t>
            </w:r>
            <w:r>
              <w:rPr>
                <w:color w:val="1F2937"/>
                <w:sz w:val="21"/>
              </w:rPr>
              <w:t>2.</w:t>
            </w:r>
            <w:r>
              <w:rPr>
                <w:rFonts w:hint="eastAsia"/>
                <w:color w:val="1F2937"/>
                <w:sz w:val="21"/>
                <w:lang w:val="en-US" w:eastAsia="zh-CN"/>
              </w:rPr>
              <w:t>3</w:t>
            </w:r>
            <w:r>
              <w:rPr>
                <w:color w:val="1F2937"/>
                <w:sz w:val="21"/>
              </w:rPr>
              <w:t>5</w:t>
            </w:r>
            <w:r>
              <w:rPr>
                <w:rFonts w:hint="eastAsia"/>
                <w:color w:val="1F2937"/>
                <w:sz w:val="21"/>
                <w:lang w:val="en-US" w:eastAsia="zh-CN"/>
              </w:rPr>
              <w:t>/45/55/65/75/85/95</w:t>
            </w:r>
          </w:p>
        </w:tc>
        <w:tc>
          <w:tcPr>
            <w:tcW w:w="2500" w:type="dxa"/>
            <w:vAlign w:val="center"/>
          </w:tcPr>
          <w:p>
            <w:pPr>
              <w:spacing w:before="0" w:after="0"/>
              <w:jc w:val="left"/>
            </w:pPr>
            <w:r>
              <w:rPr>
                <w:rFonts w:hint="eastAsia"/>
                <w:color w:val="1F2937"/>
                <w:sz w:val="21"/>
                <w:lang w:val="en-US" w:eastAsia="zh-CN"/>
              </w:rPr>
              <w:t>PROD</w:t>
            </w:r>
          </w:p>
        </w:tc>
      </w:tr>
      <w:tr>
        <w:tblPrEx>
          <w:tblBorders>
            <w:top w:val="single" w:color="2563EB" w:sz="12" w:space="0"/>
            <w:left w:val="none" w:color="auto" w:sz="0" w:space="0"/>
            <w:bottom w:val="single" w:color="2563EB" w:sz="12" w:space="0"/>
            <w:right w:val="none" w:color="auto" w:sz="0" w:space="0"/>
            <w:insideH w:val="single" w:color="BFDBFE" w:sz="4" w:space="0"/>
            <w:insideV w:val="none" w:color="auto" w:sz="0" w:space="0"/>
          </w:tblBorders>
          <w:tblCellMar>
            <w:top w:w="100" w:type="dxa"/>
            <w:left w:w="150" w:type="dxa"/>
            <w:bottom w:w="100" w:type="dxa"/>
            <w:right w:w="150" w:type="dxa"/>
          </w:tblCellMar>
        </w:tblPrEx>
        <w:trPr>
          <w:trHeight w:val="380" w:hRule="atLeast"/>
        </w:trPr>
        <w:tc>
          <w:tcPr>
            <w:tcW w:w="2500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color w:val="1F2937"/>
                <w:sz w:val="21"/>
              </w:rPr>
              <w:t>开发环境</w:t>
            </w:r>
          </w:p>
        </w:tc>
        <w:tc>
          <w:tcPr>
            <w:tcW w:w="3500" w:type="dxa"/>
            <w:vAlign w:val="center"/>
          </w:tcPr>
          <w:p>
            <w:pPr>
              <w:spacing w:before="0" w:after="0"/>
              <w:jc w:val="left"/>
              <w:rPr>
                <w:rFonts w:hint="default" w:eastAsia="微软雅黑"/>
                <w:lang w:val="en-US" w:eastAsia="zh-CN"/>
              </w:rPr>
            </w:pPr>
            <w:r>
              <w:rPr>
                <w:color w:val="1F2937"/>
                <w:sz w:val="21"/>
              </w:rPr>
              <w:t>47.</w:t>
            </w:r>
            <w:r>
              <w:rPr>
                <w:rFonts w:hint="eastAsia"/>
                <w:color w:val="1F2937"/>
                <w:sz w:val="21"/>
                <w:lang w:val="en-US" w:eastAsia="zh-CN"/>
              </w:rPr>
              <w:t>4</w:t>
            </w:r>
            <w:r>
              <w:rPr>
                <w:color w:val="1F2937"/>
                <w:sz w:val="21"/>
              </w:rPr>
              <w:t>9.12.7</w:t>
            </w:r>
            <w:r>
              <w:rPr>
                <w:rFonts w:hint="eastAsia"/>
                <w:color w:val="1F2937"/>
                <w:sz w:val="21"/>
                <w:lang w:val="en-US" w:eastAsia="zh-CN"/>
              </w:rPr>
              <w:t>6/86/96</w:t>
            </w:r>
          </w:p>
        </w:tc>
        <w:tc>
          <w:tcPr>
            <w:tcW w:w="2500" w:type="dxa"/>
            <w:vAlign w:val="center"/>
          </w:tcPr>
          <w:p>
            <w:pPr>
              <w:spacing w:before="0" w:after="0"/>
              <w:jc w:val="left"/>
              <w:rPr>
                <w:rFonts w:hint="eastAsia" w:eastAsia="微软雅黑"/>
                <w:lang w:eastAsia="zh-CN"/>
              </w:rPr>
            </w:pPr>
            <w:r>
              <w:rPr>
                <w:rFonts w:hint="eastAsia"/>
                <w:color w:val="1F2937"/>
                <w:sz w:val="21"/>
                <w:lang w:val="en-US" w:eastAsia="zh-CN"/>
              </w:rPr>
              <w:t>DEV</w:t>
            </w:r>
          </w:p>
        </w:tc>
      </w:tr>
      <w:tr>
        <w:tblPrEx>
          <w:tblBorders>
            <w:top w:val="single" w:color="2563EB" w:sz="12" w:space="0"/>
            <w:left w:val="none" w:color="auto" w:sz="0" w:space="0"/>
            <w:bottom w:val="single" w:color="2563EB" w:sz="12" w:space="0"/>
            <w:right w:val="none" w:color="auto" w:sz="0" w:space="0"/>
            <w:insideH w:val="single" w:color="BFDBFE" w:sz="4" w:space="0"/>
            <w:insideV w:val="none" w:color="auto" w:sz="0" w:space="0"/>
          </w:tblBorders>
          <w:tblCellMar>
            <w:top w:w="100" w:type="dxa"/>
            <w:left w:w="150" w:type="dxa"/>
            <w:bottom w:w="100" w:type="dxa"/>
            <w:right w:w="150" w:type="dxa"/>
          </w:tblCellMar>
        </w:tblPrEx>
        <w:trPr>
          <w:trHeight w:val="380" w:hRule="atLeast"/>
        </w:trPr>
        <w:tc>
          <w:tcPr>
            <w:tcW w:w="2500" w:type="dxa"/>
            <w:vAlign w:val="center"/>
          </w:tcPr>
          <w:p>
            <w:pPr>
              <w:spacing w:before="0" w:after="0"/>
              <w:jc w:val="center"/>
              <w:rPr>
                <w:rFonts w:hint="default" w:eastAsia="微软雅黑"/>
                <w:color w:val="1F2937"/>
                <w:sz w:val="21"/>
                <w:lang w:val="en-US" w:eastAsia="zh-CN"/>
              </w:rPr>
            </w:pPr>
            <w:r>
              <w:rPr>
                <w:rFonts w:hint="eastAsia"/>
                <w:color w:val="1F2937"/>
                <w:sz w:val="21"/>
                <w:lang w:val="en-US" w:eastAsia="zh-CN"/>
              </w:rPr>
              <w:t>测试环境</w:t>
            </w:r>
          </w:p>
        </w:tc>
        <w:tc>
          <w:tcPr>
            <w:tcW w:w="3500" w:type="dxa"/>
            <w:vAlign w:val="center"/>
          </w:tcPr>
          <w:p>
            <w:pPr>
              <w:spacing w:before="0" w:after="0"/>
              <w:jc w:val="left"/>
              <w:rPr>
                <w:rFonts w:hint="default" w:eastAsia="微软雅黑"/>
                <w:color w:val="1F2937"/>
                <w:sz w:val="21"/>
                <w:lang w:val="en-US" w:eastAsia="zh-CN"/>
              </w:rPr>
            </w:pPr>
            <w:r>
              <w:rPr>
                <w:rFonts w:hint="eastAsia"/>
                <w:color w:val="1F2937"/>
                <w:sz w:val="21"/>
                <w:lang w:val="en-US" w:eastAsia="zh-CN"/>
              </w:rPr>
              <w:t>6</w:t>
            </w:r>
            <w:r>
              <w:rPr>
                <w:color w:val="1F2937"/>
                <w:sz w:val="21"/>
              </w:rPr>
              <w:t>7.</w:t>
            </w:r>
            <w:r>
              <w:rPr>
                <w:rFonts w:hint="eastAsia"/>
                <w:color w:val="1F2937"/>
                <w:sz w:val="21"/>
                <w:lang w:val="en-US" w:eastAsia="zh-CN"/>
              </w:rPr>
              <w:t>9</w:t>
            </w:r>
            <w:r>
              <w:rPr>
                <w:color w:val="1F2937"/>
                <w:sz w:val="21"/>
              </w:rPr>
              <w:t>9.12.75</w:t>
            </w:r>
            <w:r>
              <w:rPr>
                <w:rFonts w:hint="eastAsia"/>
                <w:color w:val="1F2937"/>
                <w:sz w:val="21"/>
                <w:lang w:val="en-US" w:eastAsia="zh-CN"/>
              </w:rPr>
              <w:t>/85</w:t>
            </w:r>
          </w:p>
        </w:tc>
        <w:tc>
          <w:tcPr>
            <w:tcW w:w="2500" w:type="dxa"/>
            <w:vAlign w:val="center"/>
          </w:tcPr>
          <w:p>
            <w:pPr>
              <w:spacing w:before="0" w:after="0"/>
              <w:jc w:val="left"/>
              <w:rPr>
                <w:rFonts w:hint="default" w:eastAsia="微软雅黑"/>
                <w:color w:val="1F2937"/>
                <w:sz w:val="21"/>
                <w:lang w:val="en-US" w:eastAsia="zh-CN"/>
              </w:rPr>
            </w:pPr>
            <w:r>
              <w:rPr>
                <w:rFonts w:hint="eastAsia"/>
                <w:color w:val="1F2937"/>
                <w:sz w:val="21"/>
                <w:lang w:val="en-US" w:eastAsia="zh-CN"/>
              </w:rPr>
              <w:t>TEST</w:t>
            </w:r>
          </w:p>
        </w:tc>
      </w:tr>
    </w:tbl>
    <w:p>
      <w:pPr>
        <w:pStyle w:val="3"/>
      </w:pPr>
      <w:r>
        <w:t>技术栈</w:t>
      </w:r>
    </w:p>
    <w:p>
      <w:pPr>
        <w:keepNext/>
        <w:spacing w:before="200"/>
      </w:pPr>
      <w:r>
        <w:t>前后端技术栈详情：</w:t>
      </w:r>
    </w:p>
    <w:tbl>
      <w:tblPr>
        <w:tblStyle w:val="7"/>
        <w:tblW w:w="5000" w:type="pct"/>
        <w:tblInd w:w="0" w:type="dxa"/>
        <w:tblBorders>
          <w:top w:val="single" w:color="2563EB" w:sz="12" w:space="0"/>
          <w:left w:val="none" w:color="auto" w:sz="0" w:space="0"/>
          <w:bottom w:val="single" w:color="2563EB" w:sz="12" w:space="0"/>
          <w:right w:val="none" w:color="auto" w:sz="0" w:space="0"/>
          <w:insideH w:val="single" w:color="BFDBFE" w:sz="4" w:space="0"/>
          <w:insideV w:val="none" w:color="auto" w:sz="0" w:space="0"/>
        </w:tblBorders>
        <w:tblLayout w:type="autofit"/>
        <w:tblCellMar>
          <w:top w:w="100" w:type="dxa"/>
          <w:left w:w="150" w:type="dxa"/>
          <w:bottom w:w="100" w:type="dxa"/>
          <w:right w:w="150" w:type="dxa"/>
        </w:tblCellMar>
      </w:tblPr>
      <w:tblGrid>
        <w:gridCol w:w="1646"/>
        <w:gridCol w:w="2743"/>
        <w:gridCol w:w="4937"/>
      </w:tblGrid>
      <w:tr>
        <w:tblPrEx>
          <w:tblBorders>
            <w:top w:val="single" w:color="2563EB" w:sz="12" w:space="0"/>
            <w:left w:val="none" w:color="auto" w:sz="0" w:space="0"/>
            <w:bottom w:val="single" w:color="2563EB" w:sz="12" w:space="0"/>
            <w:right w:val="none" w:color="auto" w:sz="0" w:space="0"/>
            <w:insideH w:val="single" w:color="BFDBFE" w:sz="4" w:space="0"/>
            <w:insideV w:val="none" w:color="auto" w:sz="0" w:space="0"/>
          </w:tblBorders>
          <w:tblCellMar>
            <w:top w:w="100" w:type="dxa"/>
            <w:left w:w="150" w:type="dxa"/>
            <w:bottom w:w="100" w:type="dxa"/>
            <w:right w:w="150" w:type="dxa"/>
          </w:tblCellMar>
        </w:tblPrEx>
        <w:trPr>
          <w:trHeight w:val="400" w:hRule="atLeast"/>
          <w:tblHeader/>
        </w:trPr>
        <w:tc>
          <w:tcPr>
            <w:tcW w:w="1500" w:type="dxa"/>
            <w:tcBorders>
              <w:bottom w:val="single" w:color="2563EB" w:sz="6" w:space="0"/>
            </w:tcBorders>
            <w:shd w:val="clear" w:color="auto" w:fill="EFF6FF"/>
            <w:vAlign w:val="center"/>
          </w:tcPr>
          <w:p>
            <w:pPr>
              <w:spacing w:before="0" w:after="0"/>
              <w:jc w:val="center"/>
            </w:pPr>
            <w:r>
              <w:rPr>
                <w:b/>
                <w:color w:val="1E3A5F"/>
                <w:sz w:val="21"/>
              </w:rPr>
              <w:t>层级</w:t>
            </w:r>
          </w:p>
        </w:tc>
        <w:tc>
          <w:tcPr>
            <w:tcW w:w="2500" w:type="dxa"/>
            <w:tcBorders>
              <w:bottom w:val="single" w:color="2563EB" w:sz="6" w:space="0"/>
            </w:tcBorders>
            <w:shd w:val="clear" w:color="auto" w:fill="EFF6FF"/>
            <w:vAlign w:val="center"/>
          </w:tcPr>
          <w:p>
            <w:pPr>
              <w:spacing w:before="0" w:after="0"/>
              <w:jc w:val="center"/>
            </w:pPr>
            <w:r>
              <w:rPr>
                <w:b/>
                <w:color w:val="1E3A5F"/>
                <w:sz w:val="21"/>
              </w:rPr>
              <w:t>技术</w:t>
            </w:r>
          </w:p>
        </w:tc>
        <w:tc>
          <w:tcPr>
            <w:tcW w:w="4500" w:type="dxa"/>
            <w:tcBorders>
              <w:bottom w:val="single" w:color="2563EB" w:sz="6" w:space="0"/>
            </w:tcBorders>
            <w:shd w:val="clear" w:color="auto" w:fill="EFF6FF"/>
            <w:vAlign w:val="center"/>
          </w:tcPr>
          <w:p>
            <w:pPr>
              <w:spacing w:before="0" w:after="0"/>
              <w:jc w:val="center"/>
            </w:pPr>
            <w:r>
              <w:rPr>
                <w:b/>
                <w:color w:val="1E3A5F"/>
                <w:sz w:val="21"/>
              </w:rPr>
              <w:t>说明</w:t>
            </w:r>
          </w:p>
        </w:tc>
      </w:tr>
      <w:tr>
        <w:tblPrEx>
          <w:tblBorders>
            <w:top w:val="single" w:color="2563EB" w:sz="12" w:space="0"/>
            <w:left w:val="none" w:color="auto" w:sz="0" w:space="0"/>
            <w:bottom w:val="single" w:color="2563EB" w:sz="12" w:space="0"/>
            <w:right w:val="none" w:color="auto" w:sz="0" w:space="0"/>
            <w:insideH w:val="single" w:color="BFDBFE" w:sz="4" w:space="0"/>
            <w:insideV w:val="none" w:color="auto" w:sz="0" w:space="0"/>
          </w:tblBorders>
          <w:tblCellMar>
            <w:top w:w="100" w:type="dxa"/>
            <w:left w:w="150" w:type="dxa"/>
            <w:bottom w:w="100" w:type="dxa"/>
            <w:right w:w="150" w:type="dxa"/>
          </w:tblCellMar>
        </w:tblPrEx>
        <w:trPr>
          <w:trHeight w:val="380" w:hRule="atLeast"/>
        </w:trPr>
        <w:tc>
          <w:tcPr>
            <w:tcW w:w="1500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color w:val="1F2937"/>
                <w:sz w:val="21"/>
              </w:rPr>
              <w:t>前端</w:t>
            </w:r>
          </w:p>
        </w:tc>
        <w:tc>
          <w:tcPr>
            <w:tcW w:w="2500" w:type="dxa"/>
            <w:vAlign w:val="center"/>
          </w:tcPr>
          <w:p>
            <w:pPr>
              <w:spacing w:before="0" w:after="0"/>
              <w:jc w:val="left"/>
            </w:pPr>
            <w:r>
              <w:rPr>
                <w:color w:val="1F2937"/>
                <w:sz w:val="21"/>
              </w:rPr>
              <w:t>Vue 2.0 + JavaScript</w:t>
            </w:r>
          </w:p>
        </w:tc>
        <w:tc>
          <w:tcPr>
            <w:tcW w:w="4500" w:type="dxa"/>
            <w:vAlign w:val="center"/>
          </w:tcPr>
          <w:p>
            <w:pPr>
              <w:spacing w:before="0" w:after="0"/>
              <w:jc w:val="left"/>
            </w:pPr>
            <w:r>
              <w:rPr>
                <w:color w:val="1F2937"/>
                <w:sz w:val="21"/>
              </w:rPr>
              <w:t>现代化前端框架，组件化开发</w:t>
            </w:r>
          </w:p>
        </w:tc>
      </w:tr>
      <w:tr>
        <w:tblPrEx>
          <w:tblBorders>
            <w:top w:val="single" w:color="2563EB" w:sz="12" w:space="0"/>
            <w:left w:val="none" w:color="auto" w:sz="0" w:space="0"/>
            <w:bottom w:val="single" w:color="2563EB" w:sz="12" w:space="0"/>
            <w:right w:val="none" w:color="auto" w:sz="0" w:space="0"/>
            <w:insideH w:val="single" w:color="BFDBFE" w:sz="4" w:space="0"/>
            <w:insideV w:val="none" w:color="auto" w:sz="0" w:space="0"/>
          </w:tblBorders>
          <w:tblCellMar>
            <w:top w:w="100" w:type="dxa"/>
            <w:left w:w="150" w:type="dxa"/>
            <w:bottom w:w="100" w:type="dxa"/>
            <w:right w:w="150" w:type="dxa"/>
          </w:tblCellMar>
        </w:tblPrEx>
        <w:trPr>
          <w:trHeight w:val="380" w:hRule="atLeast"/>
        </w:trPr>
        <w:tc>
          <w:tcPr>
            <w:tcW w:w="1500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color w:val="1F2937"/>
                <w:sz w:val="21"/>
              </w:rPr>
              <w:t>后端</w:t>
            </w:r>
          </w:p>
        </w:tc>
        <w:tc>
          <w:tcPr>
            <w:tcW w:w="2500" w:type="dxa"/>
            <w:vAlign w:val="center"/>
          </w:tcPr>
          <w:p>
            <w:pPr>
              <w:spacing w:before="0" w:after="0"/>
              <w:jc w:val="left"/>
            </w:pPr>
            <w:r>
              <w:rPr>
                <w:color w:val="1F2937"/>
                <w:sz w:val="21"/>
              </w:rPr>
              <w:t>Python 3.1</w:t>
            </w:r>
            <w:r>
              <w:rPr>
                <w:rFonts w:hint="eastAsia"/>
                <w:color w:val="1F2937"/>
                <w:sz w:val="21"/>
                <w:lang w:val="en-US" w:eastAsia="zh-CN"/>
              </w:rPr>
              <w:t>2</w:t>
            </w:r>
            <w:r>
              <w:rPr>
                <w:color w:val="1F2937"/>
                <w:sz w:val="21"/>
              </w:rPr>
              <w:t>.6</w:t>
            </w:r>
          </w:p>
        </w:tc>
        <w:tc>
          <w:tcPr>
            <w:tcW w:w="4500" w:type="dxa"/>
            <w:vAlign w:val="center"/>
          </w:tcPr>
          <w:p>
            <w:pPr>
              <w:spacing w:before="0" w:after="0"/>
              <w:jc w:val="left"/>
            </w:pPr>
            <w:r>
              <w:rPr>
                <w:color w:val="1F2937"/>
                <w:sz w:val="21"/>
              </w:rPr>
              <w:t>简洁高效，生态丰富</w:t>
            </w:r>
          </w:p>
        </w:tc>
      </w:tr>
      <w:tr>
        <w:tblPrEx>
          <w:tblBorders>
            <w:top w:val="single" w:color="2563EB" w:sz="12" w:space="0"/>
            <w:left w:val="none" w:color="auto" w:sz="0" w:space="0"/>
            <w:bottom w:val="single" w:color="2563EB" w:sz="12" w:space="0"/>
            <w:right w:val="none" w:color="auto" w:sz="0" w:space="0"/>
            <w:insideH w:val="single" w:color="BFDBFE" w:sz="4" w:space="0"/>
            <w:insideV w:val="none" w:color="auto" w:sz="0" w:space="0"/>
          </w:tblBorders>
          <w:tblCellMar>
            <w:top w:w="100" w:type="dxa"/>
            <w:left w:w="150" w:type="dxa"/>
            <w:bottom w:w="100" w:type="dxa"/>
            <w:right w:w="150" w:type="dxa"/>
          </w:tblCellMar>
        </w:tblPrEx>
        <w:trPr>
          <w:trHeight w:val="380" w:hRule="atLeast"/>
        </w:trPr>
        <w:tc>
          <w:tcPr>
            <w:tcW w:w="1500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color w:val="1F2937"/>
                <w:sz w:val="21"/>
              </w:rPr>
              <w:t>框架</w:t>
            </w:r>
          </w:p>
        </w:tc>
        <w:tc>
          <w:tcPr>
            <w:tcW w:w="2500" w:type="dxa"/>
            <w:vAlign w:val="center"/>
          </w:tcPr>
          <w:p>
            <w:pPr>
              <w:spacing w:before="0" w:after="0"/>
              <w:jc w:val="left"/>
            </w:pPr>
            <w:r>
              <w:rPr>
                <w:color w:val="1F2937"/>
                <w:sz w:val="21"/>
              </w:rPr>
              <w:t>aiohttp / RESTful API</w:t>
            </w:r>
          </w:p>
        </w:tc>
        <w:tc>
          <w:tcPr>
            <w:tcW w:w="4500" w:type="dxa"/>
            <w:vAlign w:val="center"/>
          </w:tcPr>
          <w:p>
            <w:pPr>
              <w:spacing w:before="0" w:after="0"/>
              <w:jc w:val="left"/>
            </w:pPr>
            <w:r>
              <w:rPr>
                <w:color w:val="1F2937"/>
                <w:sz w:val="21"/>
              </w:rPr>
              <w:t>异步高性能Web框架</w:t>
            </w:r>
          </w:p>
        </w:tc>
      </w:tr>
      <w:tr>
        <w:tblPrEx>
          <w:tblBorders>
            <w:top w:val="single" w:color="2563EB" w:sz="12" w:space="0"/>
            <w:left w:val="none" w:color="auto" w:sz="0" w:space="0"/>
            <w:bottom w:val="single" w:color="2563EB" w:sz="12" w:space="0"/>
            <w:right w:val="none" w:color="auto" w:sz="0" w:space="0"/>
            <w:insideH w:val="single" w:color="BFDBFE" w:sz="4" w:space="0"/>
            <w:insideV w:val="none" w:color="auto" w:sz="0" w:space="0"/>
          </w:tblBorders>
          <w:tblCellMar>
            <w:top w:w="100" w:type="dxa"/>
            <w:left w:w="150" w:type="dxa"/>
            <w:bottom w:w="100" w:type="dxa"/>
            <w:right w:w="150" w:type="dxa"/>
          </w:tblCellMar>
        </w:tblPrEx>
        <w:trPr>
          <w:trHeight w:val="380" w:hRule="atLeast"/>
        </w:trPr>
        <w:tc>
          <w:tcPr>
            <w:tcW w:w="1500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color w:val="1F2937"/>
                <w:sz w:val="21"/>
              </w:rPr>
              <w:t>数据库</w:t>
            </w:r>
          </w:p>
        </w:tc>
        <w:tc>
          <w:tcPr>
            <w:tcW w:w="2500" w:type="dxa"/>
            <w:vAlign w:val="center"/>
          </w:tcPr>
          <w:p>
            <w:pPr>
              <w:spacing w:before="0" w:after="0"/>
              <w:jc w:val="left"/>
            </w:pPr>
            <w:r>
              <w:rPr>
                <w:color w:val="1F2937"/>
                <w:sz w:val="21"/>
              </w:rPr>
              <w:t>MySQL (MariaDB)</w:t>
            </w:r>
          </w:p>
        </w:tc>
        <w:tc>
          <w:tcPr>
            <w:tcW w:w="4500" w:type="dxa"/>
            <w:vAlign w:val="center"/>
          </w:tcPr>
          <w:p>
            <w:pPr>
              <w:spacing w:before="0" w:after="0"/>
              <w:jc w:val="left"/>
            </w:pPr>
            <w:r>
              <w:rPr>
                <w:color w:val="1F2937"/>
                <w:sz w:val="21"/>
              </w:rPr>
              <w:t>双机热备，高可用架构</w:t>
            </w:r>
          </w:p>
        </w:tc>
      </w:tr>
      <w:tr>
        <w:tblPrEx>
          <w:tblBorders>
            <w:top w:val="single" w:color="2563EB" w:sz="12" w:space="0"/>
            <w:left w:val="none" w:color="auto" w:sz="0" w:space="0"/>
            <w:bottom w:val="single" w:color="2563EB" w:sz="12" w:space="0"/>
            <w:right w:val="none" w:color="auto" w:sz="0" w:space="0"/>
            <w:insideH w:val="single" w:color="BFDBFE" w:sz="4" w:space="0"/>
            <w:insideV w:val="none" w:color="auto" w:sz="0" w:space="0"/>
          </w:tblBorders>
          <w:tblCellMar>
            <w:top w:w="100" w:type="dxa"/>
            <w:left w:w="150" w:type="dxa"/>
            <w:bottom w:w="100" w:type="dxa"/>
            <w:right w:w="150" w:type="dxa"/>
          </w:tblCellMar>
        </w:tblPrEx>
        <w:trPr>
          <w:trHeight w:val="380" w:hRule="atLeast"/>
        </w:trPr>
        <w:tc>
          <w:tcPr>
            <w:tcW w:w="1500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color w:val="1F2937"/>
                <w:sz w:val="21"/>
              </w:rPr>
              <w:t>部署</w:t>
            </w:r>
          </w:p>
        </w:tc>
        <w:tc>
          <w:tcPr>
            <w:tcW w:w="2500" w:type="dxa"/>
            <w:vAlign w:val="center"/>
          </w:tcPr>
          <w:p>
            <w:pPr>
              <w:spacing w:before="0" w:after="0"/>
              <w:jc w:val="left"/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color w:val="1F2937"/>
                <w:sz w:val="21"/>
                <w:lang w:val="en-US" w:eastAsia="zh-CN"/>
              </w:rPr>
              <w:t>CI/CD</w:t>
            </w:r>
          </w:p>
        </w:tc>
        <w:tc>
          <w:tcPr>
            <w:tcW w:w="4500" w:type="dxa"/>
            <w:vAlign w:val="center"/>
          </w:tcPr>
          <w:p>
            <w:pPr>
              <w:spacing w:before="0" w:after="0"/>
              <w:jc w:val="left"/>
            </w:pPr>
            <w:r>
              <w:rPr>
                <w:rFonts w:hint="eastAsia"/>
                <w:color w:val="1F2937"/>
                <w:sz w:val="21"/>
                <w:lang w:val="en-US" w:eastAsia="zh-CN"/>
              </w:rPr>
              <w:t>docker</w:t>
            </w:r>
            <w:r>
              <w:rPr>
                <w:color w:val="1F2937"/>
                <w:sz w:val="21"/>
              </w:rPr>
              <w:t>自动化部署</w:t>
            </w:r>
          </w:p>
        </w:tc>
      </w:tr>
    </w:tbl>
    <w:p>
      <w:pPr>
        <w:pStyle w:val="3"/>
      </w:pPr>
    </w:p>
    <w:p>
      <w:pPr>
        <w:pStyle w:val="3"/>
      </w:pPr>
      <w:r>
        <w:t>架构设计</w:t>
      </w:r>
    </w:p>
    <w:p>
      <w:r>
        <w:t>系统采用经典的MVC（Model-View-Controller）设计模式，将业务逻辑、数据展示和用户交互进行有效分离，确保代码的高可维护性和可扩展性。整体架构分为以下层次：</w:t>
      </w:r>
    </w:p>
    <w:p>
      <w:pPr>
        <w:numPr>
          <w:ilvl w:val="0"/>
          <w:numId w:val="1"/>
        </w:numPr>
      </w:pPr>
      <w:r>
        <w:rPr>
          <w:b/>
        </w:rPr>
        <w:t>表现层（View）</w:t>
      </w:r>
      <w:r>
        <w:t>：基于Vue.js框架构建用户界面，负责数据展示和交互响应</w:t>
      </w:r>
    </w:p>
    <w:p>
      <w:pPr>
        <w:numPr>
          <w:ilvl w:val="0"/>
          <w:numId w:val="1"/>
        </w:numPr>
      </w:pPr>
      <w:r>
        <w:rPr>
          <w:b/>
        </w:rPr>
        <w:t>控制层（Controller）</w:t>
      </w:r>
      <w:r>
        <w:t>：接收用户请求，调用业务逻辑层处理，返回处理结果</w:t>
      </w:r>
    </w:p>
    <w:p>
      <w:pPr>
        <w:numPr>
          <w:ilvl w:val="0"/>
          <w:numId w:val="1"/>
        </w:numPr>
      </w:pPr>
      <w:r>
        <w:rPr>
          <w:b/>
        </w:rPr>
        <w:t>业务逻辑层（Service）</w:t>
      </w:r>
      <w:r>
        <w:t>：处理具体业务逻辑，协调各模块间的数据流转</w:t>
      </w:r>
    </w:p>
    <w:p>
      <w:pPr>
        <w:numPr>
          <w:ilvl w:val="0"/>
          <w:numId w:val="1"/>
        </w:numPr>
      </w:pPr>
      <w:r>
        <w:rPr>
          <w:b/>
        </w:rPr>
        <w:t>数据访问层（DAO）</w:t>
      </w:r>
      <w:r>
        <w:t>：封装数据库操作，实现数据的增删改查</w:t>
      </w:r>
    </w:p>
    <w:p>
      <w:pPr>
        <w:numPr>
          <w:ilvl w:val="0"/>
          <w:numId w:val="1"/>
        </w:numPr>
      </w:pPr>
      <w:r>
        <w:rPr>
          <w:b/>
        </w:rPr>
        <w:t>数据持久层（Database）</w:t>
      </w:r>
      <w:r>
        <w:t>：采用MySQL数据库集群，保障数据安全与性能</w:t>
      </w:r>
    </w:p>
    <w:p>
      <w:pPr>
        <w:ind w:left="0" w:leftChars="0" w:firstLine="0" w:firstLineChars="0"/>
      </w:pPr>
      <w:r>
        <w:br w:type="page"/>
      </w:r>
    </w:p>
    <w:p>
      <w:pPr>
        <w:pStyle w:val="2"/>
      </w:pPr>
      <w:bookmarkStart w:id="3" w:name="_Toc003"/>
      <w:r>
        <w:t>核心功能模块</w:t>
      </w:r>
      <w:bookmarkEnd w:id="3"/>
    </w:p>
    <w:p>
      <w:pPr>
        <w:pStyle w:val="3"/>
        <w:rPr>
          <w:rFonts w:hint="eastAsia" w:cs="Times New Roman"/>
        </w:rPr>
      </w:pPr>
      <w:r>
        <w:rPr>
          <w:rFonts w:hint="eastAsia" w:cs="Times New Roman"/>
        </w:rPr>
        <w:t>客户管理模块（Customer Lifecycle Management）</w:t>
      </w:r>
    </w:p>
    <w:p>
      <w:pPr>
        <w:numPr>
          <w:ilvl w:val="0"/>
          <w:numId w:val="0"/>
        </w:numPr>
        <w:ind w:leftChars="0"/>
        <w:rPr>
          <w:rFonts w:hint="eastAsia" w:ascii="Calibri" w:hAnsi="Calibri" w:eastAsia="微软雅黑" w:cs="Times New Roman"/>
          <w:b/>
          <w:color w:val="3B82F6"/>
          <w:sz w:val="24"/>
          <w:szCs w:val="22"/>
        </w:rPr>
      </w:pPr>
      <w:r>
        <w:rPr>
          <w:rFonts w:hint="eastAsia" w:ascii="Calibri" w:hAnsi="Calibri" w:eastAsia="微软雅黑" w:cs="Times New Roman"/>
          <w:b/>
          <w:color w:val="3B82F6"/>
          <w:sz w:val="24"/>
          <w:szCs w:val="22"/>
        </w:rPr>
        <w:t>模块定位</w:t>
      </w:r>
    </w:p>
    <w:p>
      <w:pPr>
        <w:ind w:left="0" w:leftChars="0" w:firstLine="500" w:firstLineChars="0"/>
        <w:rPr>
          <w:rFonts w:hint="eastAsia"/>
        </w:rPr>
      </w:pPr>
      <w:r>
        <w:rPr>
          <w:rFonts w:hint="eastAsia"/>
        </w:rPr>
        <w:t>本模块作为客户关系管理的中枢系统，以客户全生命周期为主线，构建"获客-激活-服务-留存"的闭环运营体系。通过统一身份认证、集中资源管控、智能化服务响应，实现客户信息的360°可视化和业务办理的自助化，显著提升客户运营效率与服务满意度。</w:t>
      </w:r>
    </w:p>
    <w:p>
      <w:pPr>
        <w:numPr>
          <w:ilvl w:val="0"/>
          <w:numId w:val="0"/>
        </w:numPr>
        <w:ind w:leftChars="0"/>
        <w:rPr>
          <w:rFonts w:hint="eastAsia" w:ascii="Calibri" w:hAnsi="Calibri" w:eastAsia="微软雅黑" w:cs="Times New Roman"/>
          <w:b/>
          <w:color w:val="3B82F6"/>
          <w:sz w:val="24"/>
          <w:szCs w:val="22"/>
        </w:rPr>
      </w:pPr>
      <w:r>
        <w:rPr>
          <w:rFonts w:hint="eastAsia" w:ascii="Calibri" w:hAnsi="Calibri" w:eastAsia="微软雅黑" w:cs="Times New Roman"/>
          <w:b/>
          <w:color w:val="3B82F6"/>
          <w:sz w:val="24"/>
          <w:szCs w:val="22"/>
        </w:rPr>
        <w:t>一、统一客户档案中心</w:t>
      </w:r>
    </w:p>
    <w:p>
      <w:pPr>
        <w:ind w:left="0" w:leftChars="0" w:firstLine="500" w:firstLineChars="0"/>
        <w:rPr>
          <w:rFonts w:hint="eastAsia"/>
        </w:rPr>
      </w:pPr>
      <w:r>
        <w:rPr>
          <w:rFonts w:hint="eastAsia"/>
        </w:rPr>
        <w:t>建立标准化的客户主数据体系，支撑精准营销与风险管控：</w:t>
      </w:r>
    </w:p>
    <w:p>
      <w:pPr>
        <w:ind w:left="420" w:hanging="420"/>
        <w:rPr>
          <w:rFonts w:hint="eastAsia" w:cs="Times New Roman"/>
          <w:b/>
        </w:rPr>
      </w:pPr>
      <w:r>
        <w:rPr>
          <w:rFonts w:hint="eastAsia" w:cs="Times New Roman"/>
          <w:b/>
        </w:rPr>
        <w:t>• 客户身份与账户体系</w:t>
      </w:r>
    </w:p>
    <w:p>
      <w:pPr>
        <w:ind w:left="0" w:leftChars="0" w:firstLine="0" w:firstLineChars="0"/>
        <w:rPr>
          <w:rFonts w:hint="eastAsia"/>
        </w:rPr>
      </w:pPr>
      <w:r>
        <w:rPr>
          <w:rFonts w:hint="eastAsia" w:cs="Times New Roman"/>
          <w:b/>
        </w:rPr>
        <w:t>实名信息管理：</w:t>
      </w:r>
      <w:r>
        <w:rPr>
          <w:rFonts w:hint="eastAsia"/>
        </w:rPr>
        <w:t>集中维护企业/个人客户的认证信息、资质文件及合规状态</w:t>
      </w:r>
    </w:p>
    <w:p>
      <w:pPr>
        <w:ind w:left="0" w:leftChars="0" w:firstLine="0" w:firstLineChars="0"/>
        <w:rPr>
          <w:rFonts w:hint="eastAsia"/>
        </w:rPr>
      </w:pPr>
      <w:r>
        <w:rPr>
          <w:rFonts w:hint="eastAsia" w:cs="Times New Roman"/>
          <w:b/>
        </w:rPr>
        <w:t>联系人矩阵：</w:t>
      </w:r>
      <w:r>
        <w:rPr>
          <w:rFonts w:hint="eastAsia"/>
        </w:rPr>
        <w:t>支持多联系人配置，灵活设定主账号、子账号权限关系及业务联系人（技术/商务/财务）</w:t>
      </w:r>
    </w:p>
    <w:p>
      <w:pPr>
        <w:ind w:left="0" w:leftChars="0" w:firstLine="0" w:firstLineChars="0"/>
        <w:rPr>
          <w:rFonts w:hint="eastAsia"/>
        </w:rPr>
      </w:pPr>
      <w:r>
        <w:rPr>
          <w:rFonts w:hint="eastAsia" w:cs="Times New Roman"/>
          <w:b/>
        </w:rPr>
        <w:t>账户安全中心：</w:t>
      </w:r>
      <w:r>
        <w:rPr>
          <w:rFonts w:hint="eastAsia"/>
        </w:rPr>
        <w:t>密码策略管理、登录异常监控、多因素认证（MFA）绑定</w:t>
      </w:r>
    </w:p>
    <w:p>
      <w:pPr>
        <w:ind w:left="0" w:leftChars="0" w:firstLine="0" w:firstLineChars="0"/>
        <w:rPr>
          <w:rFonts w:hint="eastAsia"/>
        </w:rPr>
      </w:pPr>
      <w:r>
        <w:rPr>
          <w:rFonts w:hint="eastAsia" w:cs="Times New Roman"/>
          <w:b/>
        </w:rPr>
        <w:t>⚠️ 准入前提：</w:t>
      </w:r>
      <w:r>
        <w:rPr>
          <w:rFonts w:hint="eastAsia"/>
        </w:rPr>
        <w:t>客户注册时必须使用真实有效的企业邮箱和实名手机号完成验证。平台将同步校验身份信息的有效性，未通过验证将影响京东云、火山引擎、百度智能云等公有云资源的开通与使用权限。</w:t>
      </w:r>
    </w:p>
    <w:p>
      <w:pPr>
        <w:ind w:left="0" w:leftChars="0" w:firstLine="0" w:firstLineChars="0"/>
        <w:rPr>
          <w:rFonts w:hint="eastAsia" w:cs="Times New Roman"/>
          <w:b/>
        </w:rPr>
      </w:pPr>
      <w:r>
        <w:rPr>
          <w:rFonts w:hint="eastAsia" w:cs="Times New Roman"/>
          <w:b/>
        </w:rPr>
        <w:t>• 客户标签与分级</w:t>
      </w:r>
    </w:p>
    <w:p>
      <w:pPr>
        <w:ind w:left="0" w:leftChars="0" w:firstLine="500" w:firstLineChars="0"/>
        <w:rPr>
          <w:rFonts w:hint="eastAsia"/>
        </w:rPr>
      </w:pPr>
      <w:r>
        <w:rPr>
          <w:rFonts w:hint="eastAsia"/>
        </w:rPr>
        <w:t>基于消费行为、资源规模、活跃度自动打标，支持销售团队快速识别高价值客户并匹配差异化服务策略。</w:t>
      </w:r>
    </w:p>
    <w:p>
      <w:pPr>
        <w:ind w:left="0" w:leftChars="0" w:firstLine="0" w:firstLineChars="0"/>
        <w:rPr>
          <w:rFonts w:hint="eastAsia" w:cs="Times New Roman"/>
          <w:b/>
        </w:rPr>
      </w:pPr>
    </w:p>
    <w:p>
      <w:pPr>
        <w:numPr>
          <w:ilvl w:val="0"/>
          <w:numId w:val="0"/>
        </w:numPr>
        <w:ind w:leftChars="0"/>
        <w:rPr>
          <w:rFonts w:hint="eastAsia" w:ascii="Calibri" w:hAnsi="Calibri" w:eastAsia="微软雅黑" w:cs="Times New Roman"/>
          <w:b/>
          <w:color w:val="3B82F6"/>
          <w:sz w:val="24"/>
          <w:szCs w:val="22"/>
        </w:rPr>
      </w:pPr>
      <w:r>
        <w:rPr>
          <w:rFonts w:hint="eastAsia" w:ascii="Calibri" w:hAnsi="Calibri" w:eastAsia="微软雅黑" w:cs="Times New Roman"/>
          <w:b/>
          <w:color w:val="3B82F6"/>
          <w:sz w:val="24"/>
          <w:szCs w:val="22"/>
        </w:rPr>
        <w:t>二、业务运营自助中枢</w:t>
      </w:r>
    </w:p>
    <w:p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>覆盖客户从购买到售后的全链路自助服务：</w:t>
      </w:r>
    </w:p>
    <w:p>
      <w:pPr>
        <w:ind w:left="0" w:leftChars="0" w:firstLine="0" w:firstLineChars="0"/>
        <w:rPr>
          <w:rFonts w:hint="eastAsia" w:cs="Times New Roman"/>
          <w:b/>
        </w:rPr>
      </w:pPr>
      <w:r>
        <w:rPr>
          <w:rFonts w:hint="eastAsia" w:cs="Times New Roman"/>
          <w:b/>
        </w:rPr>
        <w:t>• 订单全生命周期管理</w:t>
      </w:r>
    </w:p>
    <w:p>
      <w:pPr>
        <w:ind w:left="0" w:leftChars="0" w:firstLine="500" w:firstLineChars="0"/>
        <w:rPr>
          <w:rFonts w:hint="eastAsia"/>
        </w:rPr>
      </w:pPr>
      <w:r>
        <w:rPr>
          <w:rFonts w:hint="eastAsia"/>
        </w:rPr>
        <w:t>支持查看历史订单时间轴、实时追踪订单处理节点（待审核→开通中→已完成）、一键下载合同/交付单等电子凭证，确保交易过程透明可追溯。</w:t>
      </w:r>
    </w:p>
    <w:p>
      <w:pPr>
        <w:ind w:left="0" w:leftChars="0" w:firstLine="0" w:firstLineChars="0"/>
        <w:rPr>
          <w:rFonts w:hint="eastAsia" w:cs="Times New Roman"/>
          <w:b/>
        </w:rPr>
      </w:pPr>
      <w:r>
        <w:rPr>
          <w:rFonts w:hint="eastAsia" w:cs="Times New Roman"/>
          <w:b/>
        </w:rPr>
        <w:t>• 多云资源一体化看板</w:t>
      </w:r>
    </w:p>
    <w:p>
      <w:pPr>
        <w:ind w:left="0" w:leftChars="0" w:firstLine="500" w:firstLineChars="0"/>
        <w:rPr>
          <w:rFonts w:hint="eastAsia"/>
        </w:rPr>
      </w:pPr>
      <w:r>
        <w:rPr>
          <w:rFonts w:hint="eastAsia"/>
        </w:rPr>
        <w:t>集中聚合客户名下京东云、火山引擎、百度智能云等多平台的云产品及算力资源实例，实现跨云资产的一屏可视。支持从资源卡片一键免登跳转至对应云厂商控制台，消除多平台切换的繁琐操作。</w:t>
      </w:r>
    </w:p>
    <w:p>
      <w:pPr>
        <w:ind w:left="0" w:leftChars="0" w:firstLine="0" w:firstLineChars="0"/>
        <w:rPr>
          <w:rFonts w:hint="eastAsia" w:cs="Times New Roman"/>
          <w:b/>
        </w:rPr>
      </w:pPr>
      <w:r>
        <w:rPr>
          <w:rFonts w:hint="eastAsia" w:cs="Times New Roman"/>
          <w:b/>
        </w:rPr>
        <w:t>• 财务与发票中心</w:t>
      </w:r>
    </w:p>
    <w:p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>智能开票：在线提交增值税普票/专票申请，支持合并开票、自动抬头识别</w:t>
      </w:r>
    </w:p>
    <w:p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>票据管理：开票记录云端存储，支持按时间/金额/税号筛选及电子票据批量下载</w:t>
      </w:r>
    </w:p>
    <w:p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>账户余额与账单：实时展示账户资金流水及待支付账单，支持在线充值与自动续费管理</w:t>
      </w:r>
    </w:p>
    <w:p>
      <w:pPr>
        <w:numPr>
          <w:ilvl w:val="0"/>
          <w:numId w:val="0"/>
        </w:numPr>
        <w:ind w:leftChars="0"/>
        <w:rPr>
          <w:rFonts w:hint="eastAsia" w:ascii="Calibri" w:hAnsi="Calibri" w:eastAsia="微软雅黑" w:cs="Times New Roman"/>
          <w:b/>
          <w:color w:val="3B82F6"/>
          <w:sz w:val="24"/>
          <w:szCs w:val="22"/>
        </w:rPr>
      </w:pPr>
      <w:r>
        <w:rPr>
          <w:rFonts w:hint="eastAsia" w:ascii="Calibri" w:hAnsi="Calibri" w:eastAsia="微软雅黑" w:cs="Times New Roman"/>
          <w:b/>
          <w:color w:val="3B82F6"/>
          <w:sz w:val="24"/>
          <w:szCs w:val="22"/>
        </w:rPr>
        <w:t>三、服务支持体系</w:t>
      </w:r>
    </w:p>
    <w:p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>构建标准化的技术支持与内部协同机制：</w:t>
      </w:r>
    </w:p>
    <w:p>
      <w:pPr>
        <w:ind w:left="0" w:leftChars="0" w:firstLine="0" w:firstLineChars="0"/>
        <w:rPr>
          <w:rFonts w:hint="eastAsia" w:cs="Times New Roman"/>
          <w:b/>
        </w:rPr>
      </w:pPr>
      <w:r>
        <w:rPr>
          <w:rFonts w:hint="eastAsia" w:cs="Times New Roman"/>
          <w:b/>
        </w:rPr>
        <w:t>• 智能化工单系统（Ticketing）</w:t>
      </w:r>
    </w:p>
    <w:p>
      <w:pPr>
        <w:ind w:left="0" w:leftChars="0" w:firstLine="500" w:firstLineChars="0"/>
        <w:rPr>
          <w:rFonts w:hint="eastAsia"/>
        </w:rPr>
      </w:pPr>
      <w:r>
        <w:rPr>
          <w:rFonts w:hint="eastAsia"/>
        </w:rPr>
        <w:t>客户可自主提交技术支持、商务咨询、故障申报等类型工单，系统自动分配至对应服务组。支持响应时效（SLA）可视化、处理进度实时推送、满意度评价及工单历史归档，形成问题处理的全闭环。</w:t>
      </w:r>
    </w:p>
    <w:p>
      <w:pPr>
        <w:ind w:left="0" w:leftChars="0" w:firstLine="0" w:firstLineChars="0"/>
        <w:rPr>
          <w:rFonts w:hint="eastAsia" w:cs="Times New Roman"/>
          <w:b/>
        </w:rPr>
      </w:pPr>
      <w:r>
        <w:rPr>
          <w:rFonts w:hint="eastAsia" w:cs="Times New Roman"/>
          <w:b/>
        </w:rPr>
        <w:t>• 内部流程审批中心</w:t>
      </w:r>
    </w:p>
    <w:p>
      <w:pPr>
        <w:ind w:left="0" w:leftChars="0" w:firstLine="500" w:firstLineChars="0"/>
        <w:rPr>
          <w:rFonts w:hint="eastAsia"/>
        </w:rPr>
      </w:pPr>
      <w:r>
        <w:rPr>
          <w:rFonts w:hint="eastAsia"/>
        </w:rPr>
        <w:t>统一展示客户发起的各类业务申请（如：额度提升、权限变更、特殊折扣、资源释放）及当前审批节点。支持审批流自动催办、电子签章确认、流程耗时分析，确保关键业务请求快速落地。</w:t>
      </w:r>
    </w:p>
    <w:p>
      <w:pPr>
        <w:ind w:left="0" w:leftChars="0" w:firstLine="0" w:firstLineChars="0"/>
        <w:rPr>
          <w:rFonts w:hint="eastAsia" w:cs="Times New Roman"/>
          <w:b/>
        </w:rPr>
      </w:pPr>
      <w:r>
        <w:rPr>
          <w:rFonts w:hint="eastAsia" w:cs="Times New Roman"/>
          <w:b/>
        </w:rPr>
        <w:t>设计亮点</w:t>
      </w:r>
    </w:p>
    <w:p>
      <w:pPr>
        <w:ind w:left="0" w:leftChars="0" w:firstLine="0" w:firstLineChars="0"/>
        <w:rPr>
          <w:rFonts w:hint="eastAsia"/>
        </w:rPr>
      </w:pPr>
      <w:r>
        <w:rPr>
          <w:rFonts w:hint="eastAsia" w:cs="Times New Roman"/>
          <w:b/>
        </w:rPr>
        <w:t>无缝体验：</w:t>
      </w:r>
      <w:r>
        <w:rPr>
          <w:rFonts w:hint="eastAsia"/>
        </w:rPr>
        <w:t>深度集成各大公有云控制台，单点登录（SSO）实现跨平台操作无感化</w:t>
      </w:r>
    </w:p>
    <w:p>
      <w:pPr>
        <w:ind w:left="0" w:leftChars="0" w:firstLine="0" w:firstLineChars="0"/>
        <w:rPr>
          <w:rFonts w:hint="eastAsia"/>
        </w:rPr>
      </w:pPr>
      <w:r>
        <w:rPr>
          <w:rFonts w:hint="eastAsia" w:cs="Times New Roman"/>
          <w:b/>
        </w:rPr>
        <w:t>合规内置：</w:t>
      </w:r>
      <w:r>
        <w:rPr>
          <w:rFonts w:hint="eastAsia"/>
        </w:rPr>
        <w:t>注册即完成身份真实性校验，从源头保障多云资源开通的合规性</w:t>
      </w:r>
    </w:p>
    <w:p>
      <w:pPr>
        <w:ind w:left="0" w:leftChars="0" w:firstLine="0" w:firstLineChars="0"/>
        <w:rPr>
          <w:rFonts w:hint="eastAsia"/>
        </w:rPr>
      </w:pPr>
      <w:r>
        <w:rPr>
          <w:rFonts w:hint="eastAsia" w:cs="Times New Roman"/>
          <w:b/>
        </w:rPr>
        <w:t>数据驱动：</w:t>
      </w:r>
      <w:r>
        <w:rPr>
          <w:rFonts w:hint="eastAsia"/>
        </w:rPr>
        <w:t>全链路操作留痕，为后续客户健康度分析、流失预警提供数据基础</w:t>
      </w:r>
    </w:p>
    <w:p>
      <w:r>
        <w:t>注：客户注册时需确保邮箱和手机号真实有效，否则将影响京东云、火山引擎、百度智能云等公有云产品的正常使用。</w:t>
      </w:r>
    </w:p>
    <w:p>
      <w:pPr>
        <w:pStyle w:val="3"/>
        <w:rPr>
          <w:rFonts w:hint="eastAsia" w:cs="Times New Roman"/>
        </w:rPr>
      </w:pPr>
      <w:r>
        <w:rPr>
          <w:rFonts w:hint="eastAsia" w:cs="Times New Roman"/>
        </w:rPr>
        <w:t>产品管理模块（Unified Product Catalog &amp; Orchestration）</w:t>
      </w:r>
    </w:p>
    <w:p>
      <w:pPr>
        <w:numPr>
          <w:ilvl w:val="0"/>
          <w:numId w:val="0"/>
        </w:numPr>
        <w:ind w:leftChars="0"/>
        <w:rPr>
          <w:rFonts w:hint="eastAsia" w:ascii="Calibri" w:hAnsi="Calibri" w:eastAsia="微软雅黑" w:cs="Times New Roman"/>
          <w:b/>
          <w:color w:val="3B82F6"/>
          <w:sz w:val="24"/>
          <w:szCs w:val="22"/>
        </w:rPr>
      </w:pPr>
      <w:r>
        <w:rPr>
          <w:rFonts w:hint="eastAsia" w:ascii="Calibri" w:hAnsi="Calibri" w:eastAsia="微软雅黑" w:cs="Times New Roman"/>
          <w:b/>
          <w:color w:val="3B82F6"/>
          <w:sz w:val="24"/>
          <w:szCs w:val="22"/>
        </w:rPr>
        <w:t>模块定位与核心价值</w:t>
      </w:r>
    </w:p>
    <w:p>
      <w:pPr>
        <w:ind w:left="0" w:leftChars="0" w:firstLine="500" w:firstLineChars="0"/>
        <w:rPr>
          <w:rFonts w:hint="eastAsia"/>
        </w:rPr>
      </w:pPr>
      <w:r>
        <w:rPr>
          <w:rFonts w:hint="eastAsia"/>
        </w:rPr>
        <w:t>本模块构建多云资源统一编排中枢，通过标准化接入协议与智能路由机制，实现异构云厂商产品的一站式聚合与精细化管理。解决企业多云场景下的产品分散、价格割裂、管理复杂等痛点，为前端提供统一的商品展示与交易入口，为运营方提供灵活的产品配置、定价策略及生命周期管控能力。</w:t>
      </w:r>
    </w:p>
    <w:p>
      <w:pPr>
        <w:numPr>
          <w:ilvl w:val="0"/>
          <w:numId w:val="0"/>
        </w:numPr>
        <w:ind w:leftChars="0"/>
        <w:rPr>
          <w:rFonts w:hint="eastAsia" w:ascii="Calibri" w:hAnsi="Calibri" w:eastAsia="微软雅黑" w:cs="Times New Roman"/>
          <w:b/>
          <w:color w:val="3B82F6"/>
          <w:sz w:val="24"/>
          <w:szCs w:val="22"/>
        </w:rPr>
      </w:pPr>
    </w:p>
    <w:p>
      <w:pPr>
        <w:numPr>
          <w:ilvl w:val="0"/>
          <w:numId w:val="0"/>
        </w:numPr>
        <w:ind w:leftChars="0"/>
        <w:rPr>
          <w:rFonts w:hint="eastAsia" w:ascii="Calibri" w:hAnsi="Calibri" w:eastAsia="微软雅黑" w:cs="Times New Roman"/>
          <w:b/>
          <w:color w:val="3B82F6"/>
          <w:sz w:val="24"/>
          <w:szCs w:val="22"/>
        </w:rPr>
      </w:pPr>
    </w:p>
    <w:p>
      <w:pPr>
        <w:numPr>
          <w:ilvl w:val="0"/>
          <w:numId w:val="0"/>
        </w:numPr>
        <w:ind w:leftChars="0"/>
        <w:rPr>
          <w:rFonts w:hint="eastAsia" w:ascii="Calibri" w:hAnsi="Calibri" w:eastAsia="微软雅黑" w:cs="Times New Roman"/>
          <w:b/>
          <w:color w:val="3B82F6"/>
          <w:sz w:val="24"/>
          <w:szCs w:val="22"/>
        </w:rPr>
      </w:pPr>
      <w:r>
        <w:rPr>
          <w:rFonts w:hint="eastAsia" w:ascii="Calibri" w:hAnsi="Calibri" w:eastAsia="微软雅黑" w:cs="Times New Roman"/>
          <w:b/>
          <w:color w:val="3B82F6"/>
          <w:sz w:val="24"/>
          <w:szCs w:val="22"/>
        </w:rPr>
        <w:t>一、多云产品生态聚合层</w:t>
      </w:r>
    </w:p>
    <w:p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>基于标准化OpenAPI协议栈，构建可扩展的云服务生态接入体系：</w:t>
      </w:r>
    </w:p>
    <w:p>
      <w:pPr>
        <w:ind w:left="420" w:hanging="420"/>
        <w:rPr>
          <w:rFonts w:hint="eastAsia" w:cs="Times New Roman"/>
          <w:b/>
        </w:rPr>
      </w:pPr>
      <w:r>
        <w:rPr>
          <w:rFonts w:hint="eastAsia" w:cs="Times New Roman"/>
          <w:b/>
        </w:rPr>
        <w:t>• 头部公有云深度集成</w:t>
      </w:r>
    </w:p>
    <w:p>
      <w:pPr>
        <w:ind w:left="0" w:leftChars="0" w:firstLine="500" w:firstLineChars="0"/>
        <w:rPr>
          <w:rFonts w:hint="eastAsia"/>
        </w:rPr>
      </w:pPr>
      <w:r>
        <w:rPr>
          <w:rFonts w:hint="eastAsia"/>
        </w:rPr>
        <w:t>与阿里云、百度智能云等主流云厂商的系统级对接，覆盖计算（ECS/容器/函数计算）、存储（对象存储/块存储）、网络（CDN/VPC）、数据库、中间件、安全及AI服务全品类200+云产品。支持产品规格自动同步、库存实时感知、价格动态更新，确保平台商品目录与上游厂商保持分钟级一致性。</w:t>
      </w:r>
    </w:p>
    <w:p>
      <w:pPr>
        <w:ind w:left="420" w:hanging="420"/>
        <w:rPr>
          <w:rFonts w:hint="eastAsia" w:cs="Times New Roman"/>
          <w:b/>
        </w:rPr>
      </w:pPr>
      <w:r>
        <w:rPr>
          <w:rFonts w:hint="eastAsia" w:cs="Times New Roman"/>
          <w:b/>
        </w:rPr>
        <w:t>• 高性能算力资源池化</w:t>
      </w:r>
    </w:p>
    <w:p>
      <w:pPr>
        <w:ind w:left="0" w:leftChars="0" w:firstLine="500" w:firstLineChars="0"/>
        <w:rPr>
          <w:rFonts w:hint="eastAsia"/>
        </w:rPr>
      </w:pPr>
      <w:r>
        <w:rPr>
          <w:rFonts w:hint="eastAsia"/>
        </w:rPr>
        <w:t>整合国家超算中心、智算中心及行业级算力枢纽（如天津超算、鹏城云脑、商汤智算等），将稀缺异构算力（A100/H800集群、裸金属服务器、HPC超算节点）进行服务化封装。支持按算力类型（AI训练/推理/科学计算）、集群规模、使用时长、网络拓扑等维度灵活组合，满足大模型训练、仿真模拟、基因测序等高性能场景的弹性需求。</w:t>
      </w:r>
    </w:p>
    <w:p>
      <w:pPr>
        <w:numPr>
          <w:ilvl w:val="0"/>
          <w:numId w:val="0"/>
        </w:numPr>
        <w:ind w:leftChars="0"/>
        <w:rPr>
          <w:rFonts w:hint="eastAsia" w:ascii="Calibri" w:hAnsi="Calibri" w:eastAsia="微软雅黑" w:cs="Times New Roman"/>
          <w:b/>
          <w:color w:val="3B82F6"/>
          <w:sz w:val="24"/>
          <w:szCs w:val="22"/>
        </w:rPr>
      </w:pPr>
      <w:r>
        <w:rPr>
          <w:rFonts w:hint="eastAsia" w:ascii="Calibri" w:hAnsi="Calibri" w:eastAsia="微软雅黑" w:cs="Times New Roman"/>
          <w:b/>
          <w:color w:val="3B82F6"/>
          <w:sz w:val="24"/>
          <w:szCs w:val="22"/>
        </w:rPr>
        <w:t>二、精细化商品运营体系</w:t>
      </w:r>
    </w:p>
    <w:p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>覆盖产品从引入到退市的完整生命周期：</w:t>
      </w:r>
    </w:p>
    <w:p>
      <w:pPr>
        <w:ind w:left="420" w:hanging="420"/>
        <w:rPr>
          <w:rFonts w:hint="eastAsia" w:cs="Times New Roman"/>
          <w:b/>
        </w:rPr>
      </w:pPr>
      <w:r>
        <w:rPr>
          <w:rFonts w:hint="eastAsia" w:cs="Times New Roman"/>
          <w:b/>
        </w:rPr>
        <w:t>• 多级折扣与价格策略引擎</w:t>
      </w:r>
    </w:p>
    <w:p>
      <w:pPr>
        <w:ind w:left="420" w:hanging="420"/>
        <w:rPr>
          <w:rFonts w:hint="eastAsia" w:cs="Times New Roman"/>
          <w:b/>
        </w:rPr>
      </w:pPr>
      <w:r>
        <w:rPr>
          <w:rFonts w:hint="eastAsia" w:cs="Times New Roman"/>
          <w:b/>
        </w:rPr>
        <w:t>建立平台级-供应商级-客户级三级灵活定价体系：</w:t>
      </w:r>
    </w:p>
    <w:p>
      <w:pPr>
        <w:ind w:left="0" w:leftChars="0" w:firstLine="0" w:firstLineChars="0"/>
        <w:rPr>
          <w:rFonts w:hint="eastAsia"/>
        </w:rPr>
      </w:pPr>
      <w:r>
        <w:rPr>
          <w:rFonts w:hint="eastAsia" w:cs="Times New Roman"/>
          <w:b/>
        </w:rPr>
        <w:t>平台折扣：</w:t>
      </w:r>
      <w:r>
        <w:rPr>
          <w:rFonts w:hint="eastAsia"/>
        </w:rPr>
        <w:t>支持新客首单优惠、限时秒杀、满减满赠等营销活动配置</w:t>
      </w:r>
    </w:p>
    <w:p>
      <w:pPr>
        <w:ind w:left="0" w:leftChars="0" w:firstLine="0" w:firstLineChars="0"/>
        <w:rPr>
          <w:rFonts w:hint="eastAsia"/>
        </w:rPr>
      </w:pPr>
      <w:r>
        <w:rPr>
          <w:rFonts w:hint="eastAsia" w:cs="Times New Roman"/>
          <w:b/>
        </w:rPr>
        <w:t>供应商折扣：</w:t>
      </w:r>
      <w:r>
        <w:rPr>
          <w:rFonts w:hint="eastAsia"/>
        </w:rPr>
        <w:t>承接云厂商渠道政策（如代理返点、季度回款奖励、代金券体系）</w:t>
      </w:r>
    </w:p>
    <w:p>
      <w:pPr>
        <w:ind w:left="0" w:leftChars="0" w:firstLine="0" w:firstLineChars="0"/>
        <w:rPr>
          <w:rFonts w:hint="eastAsia"/>
        </w:rPr>
      </w:pPr>
      <w:r>
        <w:rPr>
          <w:rFonts w:hint="eastAsia" w:cs="Times New Roman"/>
          <w:b/>
        </w:rPr>
        <w:t>客户专属折扣：</w:t>
      </w:r>
      <w:r>
        <w:rPr>
          <w:rFonts w:hint="eastAsia"/>
        </w:rPr>
        <w:t>支持基于合同框架的阶梯定价（用量越大单价越低）、框架协议价、项目制专项折扣等</w:t>
      </w:r>
    </w:p>
    <w:p>
      <w:pPr>
        <w:ind w:left="0" w:leftChars="0" w:firstLine="500" w:firstLineChars="0"/>
        <w:rPr>
          <w:rFonts w:hint="eastAsia"/>
        </w:rPr>
      </w:pPr>
      <w:r>
        <w:rPr>
          <w:rFonts w:hint="eastAsia"/>
        </w:rPr>
        <w:t>系统内置折扣叠加规则引擎，可配置互斥规则、优先级策略、有效期管控及适用范围限定（按产品线/客户画像/项目标签），防止资损并实现精细化收益管理。</w:t>
      </w:r>
    </w:p>
    <w:p>
      <w:pPr>
        <w:ind w:left="0" w:leftChars="0" w:firstLine="0" w:firstLineChars="0"/>
        <w:rPr>
          <w:rFonts w:hint="eastAsia" w:cs="Times New Roman"/>
          <w:b/>
        </w:rPr>
      </w:pPr>
      <w:r>
        <w:rPr>
          <w:rFonts w:hint="eastAsia" w:cs="Times New Roman"/>
          <w:b/>
        </w:rPr>
        <w:t>• 产品目录与生命周期管理</w:t>
      </w:r>
    </w:p>
    <w:p>
      <w:pPr>
        <w:ind w:left="0" w:leftChars="0" w:firstLine="0" w:firstLineChars="0"/>
        <w:rPr>
          <w:rFonts w:hint="eastAsia"/>
        </w:rPr>
      </w:pPr>
      <w:r>
        <w:rPr>
          <w:rFonts w:hint="eastAsia" w:cs="Times New Roman"/>
          <w:b/>
        </w:rPr>
        <w:t>支持多维度商品属性配置：</w:t>
      </w:r>
      <w:r>
        <w:rPr>
          <w:rFonts w:hint="eastAsia"/>
        </w:rPr>
        <w:t>基础规格参数（vCPU/内存/带宽）、售卖区域（可用区/机房）、可见性控制（公开/定向邀请/隐藏SKU）、关联增值服务捆绑（如安全加固、运维托管）。涵盖新品上架评审、在售产品参数热更新、灰度发布、退市冻结等全生命周期流程，确保产品信息合规可溯。</w:t>
      </w:r>
    </w:p>
    <w:p>
      <w:pPr>
        <w:numPr>
          <w:ilvl w:val="0"/>
          <w:numId w:val="0"/>
        </w:numPr>
        <w:ind w:leftChars="0"/>
        <w:rPr>
          <w:rFonts w:hint="eastAsia" w:ascii="Calibri" w:hAnsi="Calibri" w:eastAsia="微软雅黑" w:cs="Times New Roman"/>
          <w:b/>
          <w:color w:val="3B82F6"/>
          <w:sz w:val="24"/>
          <w:szCs w:val="22"/>
        </w:rPr>
      </w:pPr>
      <w:r>
        <w:rPr>
          <w:rFonts w:hint="eastAsia" w:cs="Times New Roman"/>
          <w:b/>
          <w:color w:val="3B82F6"/>
          <w:sz w:val="24"/>
          <w:szCs w:val="22"/>
          <w:lang w:val="en-US" w:eastAsia="zh-CN"/>
        </w:rPr>
        <w:t>三、</w:t>
      </w:r>
      <w:r>
        <w:rPr>
          <w:rFonts w:hint="eastAsia" w:ascii="Calibri" w:hAnsi="Calibri" w:eastAsia="微软雅黑" w:cs="Times New Roman"/>
          <w:b/>
          <w:color w:val="3B82F6"/>
          <w:sz w:val="24"/>
          <w:szCs w:val="22"/>
        </w:rPr>
        <w:t>标准化技术集成规范</w:t>
      </w:r>
    </w:p>
    <w:p>
      <w:pPr>
        <w:ind w:left="0" w:leftChars="0" w:firstLine="0" w:firstLineChars="0"/>
        <w:rPr>
          <w:rFonts w:hint="eastAsia" w:cs="Times New Roman"/>
          <w:b/>
        </w:rPr>
      </w:pPr>
      <w:r>
        <w:rPr>
          <w:rFonts w:hint="default" w:cs="Times New Roman"/>
          <w:b/>
          <w:lang w:val="en-US" w:eastAsia="zh-CN"/>
        </w:rPr>
        <w:t>核心API能力矩阵：</w:t>
      </w:r>
    </w:p>
    <w:tbl>
      <w:tblPr>
        <w:tblStyle w:val="7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36"/>
        <w:gridCol w:w="2265"/>
        <w:gridCol w:w="51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1836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leftChars="0" w:right="0" w:firstLine="0" w:firstLineChars="0"/>
              <w:jc w:val="left"/>
              <w:textAlignment w:val="baseline"/>
              <w:rPr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color w:val="1F2937"/>
                <w:kern w:val="0"/>
                <w:sz w:val="21"/>
                <w:szCs w:val="21"/>
                <w:vertAlign w:val="baseline"/>
                <w:lang w:val="en-US" w:eastAsia="zh-CN" w:bidi="ar"/>
              </w:rPr>
              <w:t>业务域</w:t>
            </w:r>
          </w:p>
        </w:tc>
        <w:tc>
          <w:tcPr>
            <w:tcW w:w="226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left"/>
              <w:textAlignment w:val="baseline"/>
              <w:rPr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color w:val="1F2937"/>
                <w:kern w:val="0"/>
                <w:sz w:val="21"/>
                <w:szCs w:val="21"/>
                <w:vertAlign w:val="baseline"/>
                <w:lang w:val="en-US" w:eastAsia="zh-CN" w:bidi="ar"/>
              </w:rPr>
              <w:t>核心接口</w:t>
            </w:r>
          </w:p>
        </w:tc>
        <w:tc>
          <w:tcPr>
            <w:tcW w:w="515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left"/>
              <w:textAlignment w:val="baseline"/>
              <w:rPr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color w:val="1F2937"/>
                <w:kern w:val="0"/>
                <w:sz w:val="21"/>
                <w:szCs w:val="21"/>
                <w:vertAlign w:val="baseline"/>
                <w:lang w:val="en-US" w:eastAsia="zh-CN" w:bidi="ar"/>
              </w:rPr>
              <w:t>功能说明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36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leftChars="0" w:right="0" w:firstLine="0" w:firstLineChars="0"/>
              <w:jc w:val="both"/>
              <w:textAlignment w:val="baseline"/>
              <w:rPr>
                <w:sz w:val="21"/>
                <w:szCs w:val="21"/>
              </w:rPr>
            </w:pPr>
            <w:r>
              <w:rPr>
                <w:rStyle w:val="9"/>
                <w:rFonts w:ascii="宋体" w:hAnsi="宋体" w:eastAsia="宋体" w:cs="宋体"/>
                <w:b/>
                <w:bCs/>
                <w:color w:val="1F2937"/>
                <w:kern w:val="0"/>
                <w:sz w:val="21"/>
                <w:szCs w:val="21"/>
                <w:vertAlign w:val="baseline"/>
                <w:lang w:val="en-US" w:eastAsia="zh-CN" w:bidi="ar"/>
              </w:rPr>
              <w:t>身份与访问管理</w:t>
            </w:r>
          </w:p>
        </w:tc>
        <w:tc>
          <w:tcPr>
            <w:tcW w:w="226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leftChars="0" w:right="0" w:firstLine="0" w:firstLineChars="0"/>
              <w:jc w:val="left"/>
              <w:textAlignment w:val="baseline"/>
              <w:rPr>
                <w:rFonts w:ascii="宋体" w:hAnsi="宋体" w:eastAsia="宋体" w:cs="宋体"/>
                <w:color w:val="1F2937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1F2937"/>
                <w:kern w:val="0"/>
                <w:sz w:val="21"/>
                <w:szCs w:val="21"/>
                <w:vertAlign w:val="baseline"/>
                <w:lang w:val="en-US" w:eastAsia="zh-CN" w:bidi="ar"/>
              </w:rPr>
              <w:t>用户同步API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leftChars="0" w:right="0" w:firstLine="0" w:firstLineChars="0"/>
              <w:jc w:val="left"/>
              <w:textAlignment w:val="baseline"/>
              <w:rPr>
                <w:rFonts w:ascii="宋体" w:hAnsi="宋体" w:eastAsia="宋体" w:cs="宋体"/>
                <w:color w:val="1F2937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1F2937"/>
                <w:kern w:val="0"/>
                <w:sz w:val="21"/>
                <w:szCs w:val="21"/>
                <w:vertAlign w:val="baseline"/>
                <w:lang w:val="en-US" w:eastAsia="zh-CN" w:bidi="ar"/>
              </w:rPr>
              <w:t>单点登录（SSO）API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leftChars="0" w:right="0" w:firstLine="0" w:firstLineChars="0"/>
              <w:jc w:val="left"/>
              <w:textAlignment w:val="baseline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1F2937"/>
                <w:kern w:val="0"/>
                <w:sz w:val="21"/>
                <w:szCs w:val="21"/>
                <w:vertAlign w:val="baseline"/>
                <w:lang w:val="en-US" w:eastAsia="zh-CN" w:bidi="ar"/>
              </w:rPr>
              <w:t>实名认证API</w:t>
            </w:r>
          </w:p>
        </w:tc>
        <w:tc>
          <w:tcPr>
            <w:tcW w:w="515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left"/>
              <w:textAlignment w:val="baseline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1F2937"/>
                <w:kern w:val="0"/>
                <w:sz w:val="21"/>
                <w:szCs w:val="21"/>
                <w:vertAlign w:val="baseline"/>
                <w:lang w:val="en-US" w:eastAsia="zh-CN" w:bidi="ar"/>
              </w:rPr>
              <w:t>实现跨云账号体系映射，支持主账号/子账号信息实时同步、免密安全跳转及多级实名合规核验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36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leftChars="0" w:right="0" w:firstLine="0" w:firstLineChars="0"/>
              <w:jc w:val="left"/>
              <w:textAlignment w:val="baseline"/>
              <w:rPr>
                <w:sz w:val="21"/>
                <w:szCs w:val="21"/>
              </w:rPr>
            </w:pPr>
            <w:r>
              <w:rPr>
                <w:rStyle w:val="9"/>
                <w:rFonts w:ascii="宋体" w:hAnsi="宋体" w:eastAsia="宋体" w:cs="宋体"/>
                <w:b/>
                <w:bCs/>
                <w:color w:val="1F2937"/>
                <w:kern w:val="0"/>
                <w:sz w:val="21"/>
                <w:szCs w:val="21"/>
                <w:vertAlign w:val="baseline"/>
                <w:lang w:val="en-US" w:eastAsia="zh-CN" w:bidi="ar"/>
              </w:rPr>
              <w:t>交易履约链路</w:t>
            </w:r>
          </w:p>
        </w:tc>
        <w:tc>
          <w:tcPr>
            <w:tcW w:w="226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leftChars="0" w:right="0" w:firstLine="0" w:firstLineChars="0"/>
              <w:jc w:val="left"/>
              <w:textAlignment w:val="baseline"/>
              <w:rPr>
                <w:rFonts w:ascii="宋体" w:hAnsi="宋体" w:eastAsia="宋体" w:cs="宋体"/>
                <w:color w:val="1F2937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1F2937"/>
                <w:kern w:val="0"/>
                <w:sz w:val="21"/>
                <w:szCs w:val="21"/>
                <w:vertAlign w:val="baseline"/>
                <w:lang w:val="en-US" w:eastAsia="zh-CN" w:bidi="ar"/>
              </w:rPr>
              <w:t>订单创建与查询API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leftChars="0" w:right="0" w:firstLine="0" w:firstLineChars="0"/>
              <w:jc w:val="left"/>
              <w:textAlignment w:val="baseline"/>
              <w:rPr>
                <w:rFonts w:ascii="宋体" w:hAnsi="宋体" w:eastAsia="宋体" w:cs="宋体"/>
                <w:color w:val="1F2937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1F2937"/>
                <w:kern w:val="0"/>
                <w:sz w:val="21"/>
                <w:szCs w:val="21"/>
                <w:vertAlign w:val="baseline"/>
                <w:lang w:val="en-US" w:eastAsia="zh-CN" w:bidi="ar"/>
              </w:rPr>
              <w:t>支付确认回调API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leftChars="0" w:right="0" w:firstLine="0" w:firstLineChars="0"/>
              <w:jc w:val="left"/>
              <w:textAlignment w:val="baseline"/>
              <w:rPr>
                <w:rFonts w:ascii="宋体" w:hAnsi="宋体" w:eastAsia="宋体" w:cs="宋体"/>
                <w:color w:val="1F2937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1F2937"/>
                <w:kern w:val="0"/>
                <w:sz w:val="21"/>
                <w:szCs w:val="21"/>
                <w:vertAlign w:val="baseline"/>
                <w:lang w:val="en-US" w:eastAsia="zh-CN" w:bidi="ar"/>
              </w:rPr>
              <w:t>取消支付API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leftChars="0" w:right="0" w:firstLine="0" w:firstLineChars="0"/>
              <w:jc w:val="left"/>
              <w:textAlignment w:val="baseline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1F2937"/>
                <w:kern w:val="0"/>
                <w:sz w:val="21"/>
                <w:szCs w:val="21"/>
                <w:vertAlign w:val="baseline"/>
                <w:lang w:val="en-US" w:eastAsia="zh-CN" w:bidi="ar"/>
              </w:rPr>
              <w:t>退订资源API</w:t>
            </w:r>
          </w:p>
        </w:tc>
        <w:tc>
          <w:tcPr>
            <w:tcW w:w="515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left"/>
              <w:textAlignment w:val="baseline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1F2937"/>
                <w:kern w:val="0"/>
                <w:sz w:val="21"/>
                <w:szCs w:val="21"/>
                <w:vertAlign w:val="baseline"/>
                <w:lang w:val="en-US" w:eastAsia="zh-CN" w:bidi="ar"/>
              </w:rPr>
              <w:t>覆盖订单预占库存、支付结果异步回调、超时自动回滚、资源退订及违约金计算等全交易闭环，确保资金与资源状态强一致性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36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leftChars="0" w:right="0" w:firstLine="0" w:firstLineChars="0"/>
              <w:jc w:val="left"/>
              <w:textAlignment w:val="baseline"/>
              <w:rPr>
                <w:sz w:val="21"/>
                <w:szCs w:val="21"/>
              </w:rPr>
            </w:pPr>
            <w:r>
              <w:rPr>
                <w:rStyle w:val="9"/>
                <w:rFonts w:ascii="宋体" w:hAnsi="宋体" w:eastAsia="宋体" w:cs="宋体"/>
                <w:b/>
                <w:bCs/>
                <w:color w:val="1F2937"/>
                <w:kern w:val="0"/>
                <w:sz w:val="21"/>
                <w:szCs w:val="21"/>
                <w:vertAlign w:val="baseline"/>
                <w:lang w:val="en-US" w:eastAsia="zh-CN" w:bidi="ar"/>
              </w:rPr>
              <w:t>资源运维管控</w:t>
            </w:r>
          </w:p>
        </w:tc>
        <w:tc>
          <w:tcPr>
            <w:tcW w:w="226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leftChars="0" w:right="0" w:firstLine="0" w:firstLineChars="0"/>
              <w:jc w:val="left"/>
              <w:textAlignment w:val="baseline"/>
              <w:rPr>
                <w:rFonts w:ascii="宋体" w:hAnsi="宋体" w:eastAsia="宋体" w:cs="宋体"/>
                <w:color w:val="1F2937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1F2937"/>
                <w:kern w:val="0"/>
                <w:sz w:val="21"/>
                <w:szCs w:val="21"/>
                <w:vertAlign w:val="baseline"/>
                <w:lang w:val="en-US" w:eastAsia="zh-CN" w:bidi="ar"/>
              </w:rPr>
              <w:t>资源变配API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leftChars="0" w:right="0" w:firstLine="0" w:firstLineChars="0"/>
              <w:jc w:val="left"/>
              <w:textAlignment w:val="baseline"/>
              <w:rPr>
                <w:rFonts w:ascii="宋体" w:hAnsi="宋体" w:eastAsia="宋体" w:cs="宋体"/>
                <w:color w:val="1F2937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1F2937"/>
                <w:kern w:val="0"/>
                <w:sz w:val="21"/>
                <w:szCs w:val="21"/>
                <w:vertAlign w:val="baseline"/>
                <w:lang w:val="en-US" w:eastAsia="zh-CN" w:bidi="ar"/>
              </w:rPr>
              <w:t>续期管理API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leftChars="0" w:right="0" w:firstLine="0" w:firstLineChars="0"/>
              <w:jc w:val="left"/>
              <w:textAlignment w:val="baseline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1F2937"/>
                <w:kern w:val="0"/>
                <w:sz w:val="21"/>
                <w:szCs w:val="21"/>
                <w:vertAlign w:val="baseline"/>
                <w:lang w:val="en-US" w:eastAsia="zh-CN" w:bidi="ar"/>
              </w:rPr>
              <w:t>控制台免登API</w:t>
            </w:r>
          </w:p>
        </w:tc>
        <w:tc>
          <w:tcPr>
            <w:tcW w:w="515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left"/>
              <w:textAlignment w:val="baseline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1F2937"/>
                <w:kern w:val="0"/>
                <w:sz w:val="21"/>
                <w:szCs w:val="21"/>
                <w:vertAlign w:val="baseline"/>
                <w:lang w:val="en-US" w:eastAsia="zh-CN" w:bidi="ar"/>
              </w:rPr>
              <w:t>支持资源配置升降配、服务续费提醒、一键跳转云厂商控制台进行深度运维，提升客户自助服务体验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36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leftChars="0" w:right="0" w:firstLine="0" w:firstLineChars="0"/>
              <w:jc w:val="left"/>
              <w:textAlignment w:val="baseline"/>
              <w:rPr>
                <w:sz w:val="21"/>
                <w:szCs w:val="21"/>
              </w:rPr>
            </w:pPr>
            <w:r>
              <w:rPr>
                <w:rStyle w:val="9"/>
                <w:rFonts w:ascii="宋体" w:hAnsi="宋体" w:eastAsia="宋体" w:cs="宋体"/>
                <w:b/>
                <w:bCs/>
                <w:color w:val="1F2937"/>
                <w:kern w:val="0"/>
                <w:sz w:val="21"/>
                <w:szCs w:val="21"/>
                <w:vertAlign w:val="baseline"/>
                <w:lang w:val="en-US" w:eastAsia="zh-CN" w:bidi="ar"/>
              </w:rPr>
              <w:t>计量计费对账</w:t>
            </w:r>
          </w:p>
        </w:tc>
        <w:tc>
          <w:tcPr>
            <w:tcW w:w="226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leftChars="0" w:right="0" w:firstLine="0" w:firstLineChars="0"/>
              <w:jc w:val="left"/>
              <w:textAlignment w:val="baseline"/>
              <w:rPr>
                <w:rFonts w:ascii="宋体" w:hAnsi="宋体" w:eastAsia="宋体" w:cs="宋体"/>
                <w:color w:val="1F2937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1F2937"/>
                <w:kern w:val="0"/>
                <w:sz w:val="21"/>
                <w:szCs w:val="21"/>
                <w:vertAlign w:val="baseline"/>
                <w:lang w:val="en-US" w:eastAsia="zh-CN" w:bidi="ar"/>
              </w:rPr>
              <w:t>用量数据查询API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leftChars="0" w:right="0" w:firstLine="0" w:firstLineChars="0"/>
              <w:jc w:val="left"/>
              <w:textAlignment w:val="baseline"/>
              <w:rPr>
                <w:rFonts w:ascii="宋体" w:hAnsi="宋体" w:eastAsia="宋体" w:cs="宋体"/>
                <w:color w:val="1F2937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1F2937"/>
                <w:kern w:val="0"/>
                <w:sz w:val="21"/>
                <w:szCs w:val="21"/>
                <w:vertAlign w:val="baseline"/>
                <w:lang w:val="en-US" w:eastAsia="zh-CN" w:bidi="ar"/>
              </w:rPr>
              <w:t>账单同步API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leftChars="0" w:right="0" w:firstLine="0" w:firstLineChars="0"/>
              <w:jc w:val="left"/>
              <w:textAlignment w:val="baseline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1F2937"/>
                <w:kern w:val="0"/>
                <w:sz w:val="21"/>
                <w:szCs w:val="21"/>
                <w:vertAlign w:val="baseline"/>
                <w:lang w:val="en-US" w:eastAsia="zh-CN" w:bidi="ar"/>
              </w:rPr>
              <w:t>余额查询API</w:t>
            </w:r>
          </w:p>
        </w:tc>
        <w:tc>
          <w:tcPr>
            <w:tcW w:w="515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left"/>
              <w:textAlignment w:val="baseline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1F2937"/>
                <w:kern w:val="0"/>
                <w:sz w:val="21"/>
                <w:szCs w:val="21"/>
                <w:vertAlign w:val="baseline"/>
                <w:lang w:val="en-US" w:eastAsia="zh-CN" w:bidi="ar"/>
              </w:rPr>
              <w:t>准实时获取各云厂商资源计量明细（支持秒级/小时级/天级粒度），支持按量付费（Pay-as-you-go）与包年包月混合计费模式的对账结算</w:t>
            </w:r>
          </w:p>
        </w:tc>
      </w:tr>
    </w:tbl>
    <w:p>
      <w:pPr>
        <w:ind w:left="0" w:leftChars="0" w:firstLine="0" w:firstLineChars="0"/>
        <w:rPr>
          <w:rFonts w:hint="default" w:cs="Times New Roman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default" w:ascii="Calibri" w:hAnsi="Calibri" w:eastAsia="微软雅黑" w:cs="Times New Roman"/>
          <w:b/>
          <w:color w:val="3B82F6"/>
          <w:sz w:val="24"/>
          <w:szCs w:val="22"/>
          <w:lang w:val="en-US" w:eastAsia="zh-CN"/>
        </w:rPr>
      </w:pPr>
      <w:r>
        <w:rPr>
          <w:rFonts w:hint="default" w:ascii="Calibri" w:hAnsi="Calibri" w:eastAsia="微软雅黑" w:cs="Times New Roman"/>
          <w:b/>
          <w:color w:val="3B82F6"/>
          <w:sz w:val="24"/>
          <w:szCs w:val="22"/>
          <w:lang w:val="en-US" w:eastAsia="zh-CN"/>
        </w:rPr>
        <w:t>技术架构特性：</w:t>
      </w:r>
    </w:p>
    <w:p>
      <w:pPr>
        <w:ind w:left="0" w:leftChars="0" w:firstLine="0" w:firstLineChars="0"/>
        <w:rPr>
          <w:rFonts w:hint="default" w:cs="Times New Roman"/>
          <w:lang w:val="en-US" w:eastAsia="zh-CN"/>
        </w:rPr>
      </w:pPr>
      <w:r>
        <w:rPr>
          <w:rFonts w:hint="default" w:cs="Times New Roman"/>
          <w:b/>
          <w:lang w:val="en-US" w:eastAsia="zh-CN"/>
        </w:rPr>
        <w:t>协议标准化：</w:t>
      </w:r>
      <w:r>
        <w:rPr>
          <w:rFonts w:hint="default" w:cs="Times New Roman"/>
          <w:lang w:val="en-US" w:eastAsia="zh-CN"/>
        </w:rPr>
        <w:t>基于RESTful/GraphQL统一网关，屏蔽各云厂商接口异构性，新厂商接入周期≤2周</w:t>
      </w:r>
    </w:p>
    <w:p>
      <w:pPr>
        <w:ind w:left="0" w:leftChars="0" w:firstLine="0" w:firstLineChars="0"/>
        <w:rPr>
          <w:rFonts w:hint="default" w:cs="Times New Roman"/>
          <w:lang w:val="en-US" w:eastAsia="zh-CN"/>
        </w:rPr>
      </w:pPr>
      <w:r>
        <w:rPr>
          <w:rFonts w:hint="default" w:cs="Times New Roman"/>
          <w:b/>
          <w:lang w:val="en-US" w:eastAsia="zh-CN"/>
        </w:rPr>
        <w:t>高可用设计：</w:t>
      </w:r>
      <w:r>
        <w:rPr>
          <w:rFonts w:hint="default" w:cs="Times New Roman"/>
          <w:lang w:val="en-US" w:eastAsia="zh-CN"/>
        </w:rPr>
        <w:t>熔断降级机制确保单云API故障不影响平台核心交易链路，保障业务连续性</w:t>
      </w:r>
    </w:p>
    <w:p>
      <w:pPr>
        <w:ind w:left="0" w:leftChars="0" w:firstLine="0" w:firstLineChars="0"/>
        <w:rPr>
          <w:rFonts w:hint="default" w:cs="Times New Roman"/>
          <w:lang w:val="en-US" w:eastAsia="zh-CN"/>
        </w:rPr>
      </w:pPr>
      <w:r>
        <w:rPr>
          <w:rFonts w:hint="default" w:cs="Times New Roman"/>
          <w:b/>
          <w:lang w:val="en-US" w:eastAsia="zh-CN"/>
        </w:rPr>
        <w:t>数据一致性：</w:t>
      </w:r>
      <w:r>
        <w:rPr>
          <w:rFonts w:hint="default" w:cs="Times New Roman"/>
          <w:lang w:val="en-US" w:eastAsia="zh-CN"/>
        </w:rPr>
        <w:t>采用SAGA分布式事务模式处理跨云订单，确保支付、开通、计费状态最终一致</w:t>
      </w:r>
    </w:p>
    <w:p>
      <w:pPr>
        <w:numPr>
          <w:ilvl w:val="0"/>
          <w:numId w:val="0"/>
        </w:numPr>
        <w:ind w:leftChars="0"/>
        <w:rPr>
          <w:rFonts w:hint="eastAsia"/>
        </w:rPr>
      </w:pPr>
    </w:p>
    <w:p>
      <w:pPr>
        <w:pStyle w:val="3"/>
      </w:pPr>
      <w:r>
        <w:t>设备租赁系统</w:t>
      </w:r>
    </w:p>
    <w:p>
      <w:r>
        <w:t>设备租赁系统提供物理设备的可视化管理和租赁服务：</w:t>
      </w:r>
    </w:p>
    <w:p>
      <w:pPr>
        <w:ind w:left="420" w:hanging="420"/>
      </w:pPr>
      <w:r>
        <w:t xml:space="preserve">• </w:t>
      </w:r>
      <w:r>
        <w:rPr>
          <w:b/>
        </w:rPr>
        <w:t>设备可视化</w:t>
      </w:r>
      <w:r>
        <w:t>：通过统计图表直观展示设备租赁状态、到期时间、可用时段</w:t>
      </w:r>
    </w:p>
    <w:p>
      <w:pPr>
        <w:ind w:left="420" w:hanging="420"/>
      </w:pPr>
      <w:r>
        <w:t xml:space="preserve">• </w:t>
      </w:r>
      <w:r>
        <w:rPr>
          <w:b/>
        </w:rPr>
        <w:t>订单追踪</w:t>
      </w:r>
      <w:r>
        <w:t>：记录每笔设备租赁订单的详细信息</w:t>
      </w:r>
    </w:p>
    <w:p>
      <w:pPr>
        <w:ind w:left="420" w:hanging="420"/>
      </w:pPr>
      <w:r>
        <w:t xml:space="preserve">• </w:t>
      </w:r>
      <w:r>
        <w:rPr>
          <w:b/>
        </w:rPr>
        <w:t>机房管理</w:t>
      </w:r>
      <w:r>
        <w:t>：柱状图展示机房空置率，支持时间段筛选和设备到期预警</w:t>
      </w:r>
    </w:p>
    <w:p>
      <w:r>
        <w:br w:type="page"/>
      </w:r>
    </w:p>
    <w:p>
      <w:pPr>
        <w:numPr>
          <w:ilvl w:val="0"/>
          <w:numId w:val="0"/>
        </w:numPr>
        <w:spacing w:after="200" w:line="360" w:lineRule="auto"/>
        <w:rPr>
          <w:rFonts w:hint="eastAsia" w:ascii="Calibri" w:hAnsi="Calibri" w:eastAsia="黑体" w:cs="Times New Roman"/>
          <w:b/>
          <w:color w:val="1E3A5F"/>
          <w:sz w:val="28"/>
          <w:szCs w:val="22"/>
        </w:rPr>
      </w:pPr>
      <w:r>
        <w:rPr>
          <w:rFonts w:hint="eastAsia" w:ascii="Calibri" w:hAnsi="Calibri" w:eastAsia="黑体" w:cs="Times New Roman"/>
          <w:b/>
          <w:color w:val="1E3A5F"/>
          <w:sz w:val="28"/>
          <w:szCs w:val="22"/>
        </w:rPr>
        <w:t>销售管理模块（Sales Force Automation &amp; Partner Enablement）</w:t>
      </w:r>
    </w:p>
    <w:p>
      <w:pPr>
        <w:numPr>
          <w:ilvl w:val="0"/>
          <w:numId w:val="0"/>
        </w:numPr>
        <w:ind w:leftChars="0"/>
        <w:rPr>
          <w:rFonts w:hint="eastAsia" w:ascii="Calibri" w:hAnsi="Calibri" w:eastAsia="微软雅黑" w:cs="Times New Roman"/>
          <w:b/>
          <w:color w:val="3B82F6"/>
          <w:sz w:val="24"/>
          <w:szCs w:val="22"/>
        </w:rPr>
      </w:pPr>
      <w:r>
        <w:rPr>
          <w:rFonts w:hint="eastAsia" w:ascii="Calibri" w:hAnsi="Calibri" w:eastAsia="微软雅黑" w:cs="Times New Roman"/>
          <w:b/>
          <w:color w:val="3B82F6"/>
          <w:sz w:val="24"/>
          <w:szCs w:val="22"/>
        </w:rPr>
        <w:t>模块定位与核心价值</w:t>
      </w:r>
    </w:p>
    <w:p>
      <w:pPr>
        <w:numPr>
          <w:ilvl w:val="0"/>
          <w:numId w:val="0"/>
        </w:numPr>
        <w:spacing w:after="200" w:line="360" w:lineRule="auto"/>
        <w:ind w:firstLine="500" w:firstLineChars="0"/>
        <w:rPr>
          <w:rFonts w:hint="eastAsia"/>
        </w:rPr>
      </w:pPr>
      <w:r>
        <w:rPr>
          <w:rFonts w:hint="eastAsia"/>
        </w:rPr>
        <w:t>本模块为销售团队及渠道伙伴打造客户资产数字化经营平台，覆盖从线索获取、商机转化、合同履约到持续经营的完整销售链路。通过自动化的线索流转机制、精细化的客户权限体系、灵活的分销网络管理，实现销售过程的可视化、客户资源的资产化、渠道协同的生态化，驱动销售业绩规模化增长。</w:t>
      </w:r>
    </w:p>
    <w:p>
      <w:pPr>
        <w:numPr>
          <w:ilvl w:val="0"/>
          <w:numId w:val="0"/>
        </w:numPr>
        <w:ind w:leftChars="0"/>
        <w:rPr>
          <w:rFonts w:hint="eastAsia" w:cs="Times New Roman"/>
          <w:b/>
          <w:color w:val="3B82F6"/>
          <w:sz w:val="24"/>
          <w:szCs w:val="22"/>
          <w:lang w:val="en-US" w:eastAsia="zh-CN"/>
        </w:rPr>
      </w:pPr>
      <w:r>
        <w:rPr>
          <w:rFonts w:hint="eastAsia" w:cs="Times New Roman"/>
          <w:b/>
          <w:color w:val="3B82F6"/>
          <w:sz w:val="24"/>
          <w:szCs w:val="22"/>
          <w:lang w:val="en-US" w:eastAsia="zh-CN"/>
        </w:rPr>
        <w:t>一、线索获取与智能分配（Lead-to-Cash起点）</w:t>
      </w:r>
    </w:p>
    <w:p>
      <w:pPr>
        <w:numPr>
          <w:ilvl w:val="0"/>
          <w:numId w:val="0"/>
        </w:numPr>
        <w:spacing w:after="200" w:line="360" w:lineRule="auto"/>
        <w:rPr>
          <w:rFonts w:hint="eastAsia"/>
        </w:rPr>
      </w:pPr>
      <w:r>
        <w:rPr>
          <w:rFonts w:hint="eastAsia"/>
        </w:rPr>
        <w:t>构建标准化的线索流转机制，确保潜在商机不遗漏：</w:t>
      </w:r>
    </w:p>
    <w:p>
      <w:pPr>
        <w:numPr>
          <w:ilvl w:val="0"/>
          <w:numId w:val="0"/>
        </w:numPr>
        <w:spacing w:after="200" w:line="360" w:lineRule="auto"/>
        <w:rPr>
          <w:rFonts w:hint="eastAsia"/>
        </w:rPr>
      </w:pPr>
      <w:r>
        <w:rPr>
          <w:rFonts w:hint="eastAsia"/>
        </w:rPr>
        <w:t xml:space="preserve">• </w:t>
      </w:r>
      <w:r>
        <w:rPr>
          <w:rFonts w:hint="eastAsia" w:cs="Times New Roman"/>
          <w:b/>
        </w:rPr>
        <w:t>多渠道线索捕获与清洗</w:t>
      </w:r>
    </w:p>
    <w:p>
      <w:pPr>
        <w:numPr>
          <w:ilvl w:val="0"/>
          <w:numId w:val="0"/>
        </w:numPr>
        <w:spacing w:after="200" w:line="360" w:lineRule="auto"/>
        <w:ind w:firstLine="500" w:firstLineChars="0"/>
        <w:rPr>
          <w:rFonts w:hint="eastAsia"/>
        </w:rPr>
      </w:pPr>
      <w:r>
        <w:rPr>
          <w:rFonts w:hint="eastAsia"/>
        </w:rPr>
        <w:t>自动聚合官网"联系我们"表单、市场活动、API接入等全域线索入口，根据行业、规模、需求紧急度自动打标。内置线索查重与客户合并机制，避免销售撞单，确保意向客户（Marketing Qualified Lead）及时进入线索公海池并触发分配规则。</w:t>
      </w:r>
    </w:p>
    <w:p>
      <w:pPr>
        <w:numPr>
          <w:ilvl w:val="0"/>
          <w:numId w:val="0"/>
        </w:numPr>
        <w:spacing w:after="200" w:line="360" w:lineRule="auto"/>
        <w:rPr>
          <w:rFonts w:hint="eastAsia"/>
        </w:rPr>
      </w:pPr>
      <w:r>
        <w:rPr>
          <w:rFonts w:hint="eastAsia"/>
        </w:rPr>
        <w:t xml:space="preserve">• </w:t>
      </w:r>
      <w:r>
        <w:rPr>
          <w:rFonts w:hint="eastAsia" w:cs="Times New Roman"/>
          <w:b/>
        </w:rPr>
        <w:t>客户归属与权限体系</w:t>
      </w:r>
    </w:p>
    <w:p>
      <w:pPr>
        <w:numPr>
          <w:ilvl w:val="0"/>
          <w:numId w:val="0"/>
        </w:numPr>
        <w:spacing w:after="200" w:line="360" w:lineRule="auto"/>
        <w:rPr>
          <w:rFonts w:hint="eastAsia"/>
        </w:rPr>
      </w:pPr>
      <w:r>
        <w:rPr>
          <w:rFonts w:hint="eastAsia"/>
        </w:rPr>
        <w:t>支持双重归属模式：</w:t>
      </w:r>
    </w:p>
    <w:p>
      <w:pPr>
        <w:numPr>
          <w:ilvl w:val="0"/>
          <w:numId w:val="0"/>
        </w:numPr>
        <w:spacing w:after="200" w:line="360" w:lineRule="auto"/>
        <w:rPr>
          <w:rFonts w:hint="eastAsia"/>
        </w:rPr>
      </w:pPr>
      <w:r>
        <w:rPr>
          <w:rFonts w:hint="eastAsia" w:cs="Times New Roman"/>
          <w:b/>
        </w:rPr>
        <w:t>自动绑定：</w:t>
      </w:r>
      <w:r>
        <w:rPr>
          <w:rFonts w:hint="eastAsia"/>
        </w:rPr>
        <w:t>客户使用销售专属邀请码注册时，系统自动建立归属关系并锁定保护期（如180天内不可被其他销售抢占）</w:t>
      </w:r>
    </w:p>
    <w:p>
      <w:pPr>
        <w:numPr>
          <w:ilvl w:val="0"/>
          <w:numId w:val="0"/>
        </w:numPr>
        <w:spacing w:after="200" w:line="360" w:lineRule="auto"/>
        <w:rPr>
          <w:rFonts w:hint="eastAsia"/>
        </w:rPr>
      </w:pPr>
      <w:r>
        <w:rPr>
          <w:rFonts w:hint="eastAsia" w:cs="Times New Roman"/>
          <w:b/>
        </w:rPr>
        <w:t>运营调拨：</w:t>
      </w:r>
      <w:r>
        <w:rPr>
          <w:rFonts w:hint="eastAsia"/>
        </w:rPr>
        <w:t>对于自然流量注册的公共客户，销售运营人员可基于区域、行业、负载均衡等策略手动分配，支持客户池认领、主管强制分配、离职交接批量转移等场景</w:t>
      </w:r>
    </w:p>
    <w:p>
      <w:pPr>
        <w:numPr>
          <w:ilvl w:val="0"/>
          <w:numId w:val="0"/>
        </w:numPr>
        <w:spacing w:after="200" w:line="360" w:lineRule="auto"/>
        <w:rPr>
          <w:rFonts w:hint="eastAsia"/>
        </w:rPr>
      </w:pPr>
      <w:r>
        <w:rPr>
          <w:rFonts w:hint="eastAsia"/>
        </w:rPr>
        <w:t>所有归属变更留痕审计，确保客户资产安全。</w:t>
      </w:r>
    </w:p>
    <w:p>
      <w:pPr>
        <w:numPr>
          <w:ilvl w:val="0"/>
          <w:numId w:val="0"/>
        </w:numPr>
        <w:ind w:leftChars="0"/>
        <w:rPr>
          <w:rFonts w:hint="eastAsia" w:cs="Times New Roman"/>
          <w:b/>
          <w:color w:val="3B82F6"/>
          <w:sz w:val="24"/>
          <w:szCs w:val="22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eastAsia" w:cs="Times New Roman"/>
          <w:b/>
          <w:color w:val="3B82F6"/>
          <w:sz w:val="24"/>
          <w:szCs w:val="22"/>
          <w:lang w:val="en-US" w:eastAsia="zh-CN"/>
        </w:rPr>
      </w:pPr>
      <w:r>
        <w:rPr>
          <w:rFonts w:hint="eastAsia" w:cs="Times New Roman"/>
          <w:b/>
          <w:color w:val="3B82F6"/>
          <w:sz w:val="24"/>
          <w:szCs w:val="22"/>
          <w:lang w:val="en-US" w:eastAsia="zh-CN"/>
        </w:rPr>
        <w:t>二、销售赋能工具箱</w:t>
      </w:r>
    </w:p>
    <w:p>
      <w:pPr>
        <w:numPr>
          <w:ilvl w:val="0"/>
          <w:numId w:val="0"/>
        </w:numPr>
        <w:spacing w:after="200" w:line="360" w:lineRule="auto"/>
        <w:rPr>
          <w:rFonts w:hint="eastAsia"/>
        </w:rPr>
      </w:pPr>
      <w:r>
        <w:rPr>
          <w:rFonts w:hint="eastAsia"/>
        </w:rPr>
        <w:t>为一线销售提供提升转化率的实战武器：</w:t>
      </w:r>
    </w:p>
    <w:p>
      <w:pPr>
        <w:numPr>
          <w:ilvl w:val="0"/>
          <w:numId w:val="0"/>
        </w:numPr>
        <w:spacing w:after="200" w:line="360" w:lineRule="auto"/>
        <w:rPr>
          <w:rFonts w:hint="eastAsia"/>
        </w:rPr>
      </w:pPr>
      <w:r>
        <w:rPr>
          <w:rFonts w:hint="eastAsia"/>
        </w:rPr>
        <w:t>•</w:t>
      </w:r>
      <w:r>
        <w:rPr>
          <w:rFonts w:hint="eastAsia" w:cs="Times New Roman"/>
          <w:b/>
        </w:rPr>
        <w:t xml:space="preserve"> 智能邀请码与营销裂变</w:t>
      </w:r>
    </w:p>
    <w:p>
      <w:pPr>
        <w:numPr>
          <w:ilvl w:val="0"/>
          <w:numId w:val="0"/>
        </w:numPr>
        <w:spacing w:after="200" w:line="360" w:lineRule="auto"/>
        <w:ind w:firstLine="500" w:firstLineChars="0"/>
        <w:rPr>
          <w:rFonts w:hint="eastAsia"/>
        </w:rPr>
      </w:pPr>
      <w:r>
        <w:rPr>
          <w:rFonts w:hint="eastAsia"/>
        </w:rPr>
        <w:t>销售可自助生成专属邀请码/推广链接，并关联平台配置的促销活动（如新客首单5折、满减券包）。系统追踪邀请码的传播路径与转化归因，客户使用后自动发放权益并记录销售业绩归属。支持生成渠道专属二维码用于线下展会、私域社群等场景。</w:t>
      </w:r>
    </w:p>
    <w:p>
      <w:pPr>
        <w:numPr>
          <w:ilvl w:val="0"/>
          <w:numId w:val="0"/>
        </w:numPr>
        <w:spacing w:after="200" w:line="360" w:lineRule="auto"/>
        <w:rPr>
          <w:rFonts w:hint="eastAsia"/>
        </w:rPr>
      </w:pPr>
      <w:r>
        <w:rPr>
          <w:rFonts w:hint="eastAsia"/>
        </w:rPr>
        <w:t>•</w:t>
      </w:r>
      <w:r>
        <w:rPr>
          <w:rFonts w:hint="eastAsia" w:cs="Times New Roman"/>
          <w:b/>
        </w:rPr>
        <w:t xml:space="preserve"> 客户级价格策略配置</w:t>
      </w:r>
    </w:p>
    <w:p>
      <w:pPr>
        <w:numPr>
          <w:ilvl w:val="0"/>
          <w:numId w:val="0"/>
        </w:numPr>
        <w:spacing w:after="200" w:line="360" w:lineRule="auto"/>
        <w:ind w:firstLine="500" w:firstLineChars="0"/>
        <w:rPr>
          <w:rFonts w:hint="eastAsia"/>
        </w:rPr>
      </w:pPr>
      <w:r>
        <w:rPr>
          <w:rFonts w:hint="eastAsia"/>
        </w:rPr>
        <w:t>基于客户画像和谈判结果，销售可申请客户专属折扣协议（如"某大客户年度框架协议价"）。支持按产品维度、项目维度、时间窗口设置差异化折扣，经主管/财务审批后生效。系统自动校验折扣权限阈值，防止超权让利。</w:t>
      </w:r>
    </w:p>
    <w:p>
      <w:pPr>
        <w:numPr>
          <w:ilvl w:val="0"/>
          <w:numId w:val="0"/>
        </w:numPr>
        <w:spacing w:after="200" w:line="360" w:lineRule="auto"/>
        <w:rPr>
          <w:rFonts w:hint="eastAsia" w:cs="Times New Roman"/>
          <w:b/>
        </w:rPr>
      </w:pPr>
      <w:r>
        <w:rPr>
          <w:rFonts w:hint="eastAsia" w:cs="Times New Roman"/>
          <w:b/>
        </w:rPr>
        <w:t>• 客户代运营服务</w:t>
      </w:r>
    </w:p>
    <w:p>
      <w:pPr>
        <w:numPr>
          <w:ilvl w:val="0"/>
          <w:numId w:val="0"/>
        </w:numPr>
        <w:spacing w:after="200" w:line="360" w:lineRule="auto"/>
        <w:ind w:firstLine="500" w:firstLineChars="0"/>
        <w:rPr>
          <w:rFonts w:hint="eastAsia"/>
        </w:rPr>
      </w:pPr>
      <w:r>
        <w:rPr>
          <w:rFonts w:hint="eastAsia"/>
        </w:rPr>
        <w:t>为提升大客户服务体验，销售可代客户发起开票申请（关联历史订单）、代查资源账单、代办续费提醒等，所有操作需客户短信/邮件二次授权，确保合规。系统自动生成服务记录，计入销售客户维护工作量考核。</w:t>
      </w:r>
    </w:p>
    <w:p>
      <w:pPr>
        <w:numPr>
          <w:ilvl w:val="0"/>
          <w:numId w:val="0"/>
        </w:numPr>
        <w:ind w:leftChars="0"/>
        <w:rPr>
          <w:rFonts w:hint="eastAsia" w:cs="Times New Roman"/>
          <w:b/>
          <w:lang w:val="en-US" w:eastAsia="zh-CN"/>
        </w:rPr>
      </w:pPr>
      <w:r>
        <w:rPr>
          <w:rFonts w:hint="eastAsia" w:cs="Times New Roman"/>
          <w:b/>
          <w:color w:val="3B82F6"/>
          <w:sz w:val="24"/>
          <w:szCs w:val="22"/>
          <w:lang w:val="en-US" w:eastAsia="zh-CN"/>
        </w:rPr>
        <w:t>三、客户资产360°运营</w:t>
      </w:r>
    </w:p>
    <w:p>
      <w:pPr>
        <w:numPr>
          <w:ilvl w:val="0"/>
          <w:numId w:val="0"/>
        </w:numPr>
        <w:spacing w:after="200" w:line="360" w:lineRule="auto"/>
        <w:rPr>
          <w:rFonts w:hint="eastAsia"/>
        </w:rPr>
      </w:pPr>
      <w:r>
        <w:rPr>
          <w:rFonts w:hint="eastAsia"/>
        </w:rPr>
        <w:t>建立持续经营的深度连接：</w:t>
      </w:r>
    </w:p>
    <w:p>
      <w:pPr>
        <w:numPr>
          <w:ilvl w:val="0"/>
          <w:numId w:val="0"/>
        </w:numPr>
        <w:spacing w:after="200" w:line="360" w:lineRule="auto"/>
        <w:rPr>
          <w:rFonts w:hint="eastAsia" w:cs="Times New Roman"/>
          <w:b/>
        </w:rPr>
      </w:pPr>
      <w:r>
        <w:rPr>
          <w:rFonts w:hint="eastAsia" w:cs="Times New Roman"/>
          <w:b/>
        </w:rPr>
        <w:t>• 客户全景视图与跟进管理</w:t>
      </w:r>
    </w:p>
    <w:p>
      <w:pPr>
        <w:numPr>
          <w:ilvl w:val="0"/>
          <w:numId w:val="0"/>
        </w:numPr>
        <w:spacing w:after="200" w:line="360" w:lineRule="auto"/>
        <w:ind w:firstLine="500" w:firstLineChars="0"/>
        <w:rPr>
          <w:rFonts w:hint="eastAsia"/>
        </w:rPr>
      </w:pPr>
      <w:r>
        <w:rPr>
          <w:rFonts w:hint="eastAsia"/>
        </w:rPr>
        <w:t>整合客户基础档案、订单历史、工单记录、资源使用趋势，构建客户健康度评分模型。支持销售记录拜访日志、通话记录、商机阶段推进（如需求沟通→方案报价→商务谈判→赢单），形成完整的客户跟进时间轴，便于团队协作与复盘。</w:t>
      </w:r>
    </w:p>
    <w:p>
      <w:pPr>
        <w:numPr>
          <w:ilvl w:val="0"/>
          <w:numId w:val="0"/>
        </w:numPr>
        <w:spacing w:after="200" w:line="360" w:lineRule="auto"/>
        <w:rPr>
          <w:rFonts w:hint="eastAsia" w:cs="Times New Roman"/>
          <w:b/>
        </w:rPr>
      </w:pPr>
      <w:r>
        <w:rPr>
          <w:rFonts w:hint="eastAsia" w:cs="Times New Roman"/>
          <w:b/>
        </w:rPr>
        <w:t>• 商机漏斗与预测</w:t>
      </w:r>
    </w:p>
    <w:p>
      <w:pPr>
        <w:numPr>
          <w:ilvl w:val="0"/>
          <w:numId w:val="0"/>
        </w:numPr>
        <w:spacing w:after="200" w:line="360" w:lineRule="auto"/>
        <w:ind w:firstLine="500" w:firstLineChars="0"/>
        <w:rPr>
          <w:rFonts w:hint="eastAsia"/>
        </w:rPr>
      </w:pPr>
      <w:r>
        <w:rPr>
          <w:rFonts w:hint="eastAsia"/>
        </w:rPr>
        <w:t>基于商机阶段与赢单概率，自动生成销售漏斗分析，支持个人业绩预测与团队Pipeline健康度诊断。</w:t>
      </w:r>
    </w:p>
    <w:p>
      <w:pPr>
        <w:numPr>
          <w:ilvl w:val="0"/>
          <w:numId w:val="0"/>
        </w:numPr>
        <w:ind w:leftChars="0"/>
        <w:rPr>
          <w:rFonts w:hint="eastAsia" w:cs="Times New Roman"/>
          <w:b/>
          <w:color w:val="3B82F6"/>
          <w:sz w:val="24"/>
          <w:szCs w:val="22"/>
          <w:lang w:val="en-US" w:eastAsia="zh-CN"/>
        </w:rPr>
      </w:pPr>
      <w:r>
        <w:rPr>
          <w:rFonts w:hint="eastAsia" w:cs="Times New Roman"/>
          <w:b/>
          <w:color w:val="3B82F6"/>
          <w:sz w:val="24"/>
          <w:szCs w:val="22"/>
          <w:lang w:val="en-US" w:eastAsia="zh-CN"/>
        </w:rPr>
        <w:t>四、分销网络与渠道管理</w:t>
      </w:r>
    </w:p>
    <w:p>
      <w:pPr>
        <w:numPr>
          <w:ilvl w:val="0"/>
          <w:numId w:val="0"/>
        </w:numPr>
        <w:spacing w:after="200" w:line="360" w:lineRule="auto"/>
        <w:rPr>
          <w:rFonts w:hint="eastAsia"/>
        </w:rPr>
      </w:pPr>
      <w:r>
        <w:rPr>
          <w:rFonts w:hint="eastAsia"/>
        </w:rPr>
        <w:t>构建多级渠道生态，实现业绩规模化：</w:t>
      </w:r>
    </w:p>
    <w:p>
      <w:pPr>
        <w:numPr>
          <w:ilvl w:val="0"/>
          <w:numId w:val="0"/>
        </w:numPr>
        <w:spacing w:after="200" w:line="360" w:lineRule="auto"/>
        <w:rPr>
          <w:rFonts w:hint="eastAsia"/>
        </w:rPr>
      </w:pPr>
      <w:r>
        <w:rPr>
          <w:rFonts w:hint="eastAsia"/>
        </w:rPr>
        <w:t>•</w:t>
      </w:r>
      <w:r>
        <w:rPr>
          <w:rFonts w:hint="eastAsia" w:cs="Times New Roman"/>
          <w:b/>
        </w:rPr>
        <w:t xml:space="preserve"> 分销商全生命周期管理</w:t>
      </w:r>
    </w:p>
    <w:p>
      <w:pPr>
        <w:numPr>
          <w:ilvl w:val="0"/>
          <w:numId w:val="0"/>
        </w:numPr>
        <w:spacing w:after="200" w:line="360" w:lineRule="auto"/>
        <w:ind w:firstLine="500" w:firstLineChars="0"/>
        <w:rPr>
          <w:rFonts w:hint="eastAsia"/>
        </w:rPr>
      </w:pPr>
      <w:r>
        <w:rPr>
          <w:rFonts w:hint="eastAsia"/>
        </w:rPr>
        <w:t>销售作为渠道经理，可自主拓展下级分销商/代理商，完成资质审核、合同签署、信用额度初始化。支持查看分销商名下的客户列表（脱敏视图）与业绩贡献，对分销商进行分级运营（金牌/银牌/标准）及返点政策配置。</w:t>
      </w:r>
    </w:p>
    <w:p>
      <w:pPr>
        <w:numPr>
          <w:ilvl w:val="0"/>
          <w:numId w:val="0"/>
        </w:numPr>
        <w:spacing w:after="200" w:line="360" w:lineRule="auto"/>
        <w:rPr>
          <w:rFonts w:hint="eastAsia"/>
        </w:rPr>
      </w:pPr>
      <w:r>
        <w:rPr>
          <w:rFonts w:hint="eastAsia" w:cs="Times New Roman"/>
          <w:b/>
        </w:rPr>
        <w:t>建立渠道冲突仲裁机制：</w:t>
      </w:r>
      <w:r>
        <w:rPr>
          <w:rFonts w:hint="eastAsia"/>
        </w:rPr>
        <w:t>当直销与分销线索重叠时，系统根据"报备优先+客户意向"双维度判定归属。</w:t>
      </w:r>
    </w:p>
    <w:p>
      <w:pPr>
        <w:numPr>
          <w:ilvl w:val="0"/>
          <w:numId w:val="0"/>
        </w:numPr>
        <w:ind w:leftChars="0"/>
        <w:rPr>
          <w:rFonts w:hint="eastAsia" w:cs="Times New Roman"/>
          <w:b/>
          <w:color w:val="3B82F6"/>
          <w:sz w:val="24"/>
          <w:szCs w:val="22"/>
          <w:lang w:val="en-US" w:eastAsia="zh-CN"/>
        </w:rPr>
      </w:pPr>
      <w:r>
        <w:rPr>
          <w:rFonts w:hint="eastAsia" w:cs="Times New Roman"/>
          <w:b/>
          <w:color w:val="3B82F6"/>
          <w:sz w:val="24"/>
          <w:szCs w:val="22"/>
          <w:lang w:val="en-US" w:eastAsia="zh-CN"/>
        </w:rPr>
        <w:t>五、业绩洞察与佣金核算</w:t>
      </w:r>
    </w:p>
    <w:p>
      <w:pPr>
        <w:numPr>
          <w:ilvl w:val="0"/>
          <w:numId w:val="0"/>
        </w:numPr>
        <w:spacing w:after="200" w:line="360" w:lineRule="auto"/>
        <w:rPr>
          <w:rFonts w:hint="eastAsia"/>
        </w:rPr>
      </w:pPr>
      <w:r>
        <w:rPr>
          <w:rFonts w:hint="eastAsia"/>
        </w:rPr>
        <w:t>透明化的业绩管理与激励机制：</w:t>
      </w:r>
    </w:p>
    <w:p>
      <w:pPr>
        <w:numPr>
          <w:ilvl w:val="0"/>
          <w:numId w:val="0"/>
        </w:numPr>
        <w:spacing w:after="200" w:line="360" w:lineRule="auto"/>
        <w:rPr>
          <w:rFonts w:hint="eastAsia" w:cs="Times New Roman"/>
          <w:b/>
        </w:rPr>
      </w:pPr>
      <w:r>
        <w:rPr>
          <w:rFonts w:hint="eastAsia" w:cs="Times New Roman"/>
          <w:b/>
        </w:rPr>
        <w:t>• 实时业绩追踪与多维分析</w:t>
      </w:r>
    </w:p>
    <w:p>
      <w:pPr>
        <w:numPr>
          <w:ilvl w:val="0"/>
          <w:numId w:val="0"/>
        </w:numPr>
        <w:spacing w:after="200" w:line="360" w:lineRule="auto"/>
        <w:ind w:firstLine="500" w:firstLineChars="0"/>
        <w:rPr>
          <w:rFonts w:hint="eastAsia"/>
        </w:rPr>
      </w:pPr>
      <w:r>
        <w:rPr>
          <w:rFonts w:hint="eastAsia"/>
        </w:rPr>
        <w:t>提供个人销售仪表盘：实时查看名下客户的购买记录、账单明细、回款状态、毛利贡献。支持按产品类型、云厂商、客户行业等维度拆解业绩结构，识别高价值客户与交叉销售机会。</w:t>
      </w:r>
    </w:p>
    <w:p>
      <w:pPr>
        <w:numPr>
          <w:ilvl w:val="0"/>
          <w:numId w:val="0"/>
        </w:numPr>
        <w:spacing w:after="200" w:line="360" w:lineRule="auto"/>
        <w:ind w:firstLine="500" w:firstLineChars="0"/>
        <w:rPr>
          <w:rFonts w:hint="eastAsia"/>
        </w:rPr>
      </w:pPr>
    </w:p>
    <w:p>
      <w:pPr>
        <w:numPr>
          <w:ilvl w:val="0"/>
          <w:numId w:val="0"/>
        </w:numPr>
        <w:spacing w:after="200" w:line="360" w:lineRule="auto"/>
        <w:ind w:firstLine="500" w:firstLineChars="0"/>
        <w:rPr>
          <w:rFonts w:hint="eastAsia"/>
        </w:rPr>
      </w:pPr>
    </w:p>
    <w:p>
      <w:pPr>
        <w:numPr>
          <w:ilvl w:val="0"/>
          <w:numId w:val="0"/>
        </w:numPr>
        <w:spacing w:after="200" w:line="360" w:lineRule="auto"/>
        <w:rPr>
          <w:rFonts w:hint="eastAsia" w:cs="Times New Roman"/>
          <w:b/>
        </w:rPr>
      </w:pPr>
      <w:r>
        <w:rPr>
          <w:rFonts w:hint="eastAsia" w:cs="Times New Roman"/>
          <w:b/>
        </w:rPr>
        <w:t>• 佣金自动核算</w:t>
      </w:r>
    </w:p>
    <w:p>
      <w:pPr>
        <w:numPr>
          <w:ilvl w:val="0"/>
          <w:numId w:val="0"/>
        </w:numPr>
        <w:spacing w:after="200" w:line="360" w:lineRule="auto"/>
        <w:ind w:firstLine="500" w:firstLineChars="0"/>
      </w:pPr>
      <w:r>
        <w:rPr>
          <w:rFonts w:hint="eastAsia"/>
        </w:rPr>
        <w:t>基于成交订单、折扣力度、账期风险等因子，自动计算销售佣金与渠道分润，支持阶梯提成、团队协作分成（Case Team）、退款扣回等复杂规则。</w:t>
      </w:r>
    </w:p>
    <w:p>
      <w:pPr>
        <w:pStyle w:val="3"/>
      </w:pPr>
      <w:r>
        <w:t>运营管理模块</w:t>
      </w:r>
    </w:p>
    <w:p>
      <w:r>
        <w:t>运营管理模块为平台运营人员提供系统配置和数据分析能力：</w:t>
      </w:r>
    </w:p>
    <w:p>
      <w:pPr>
        <w:ind w:left="420" w:hanging="420"/>
      </w:pPr>
      <w:r>
        <w:t xml:space="preserve">• </w:t>
      </w:r>
      <w:r>
        <w:rPr>
          <w:b/>
        </w:rPr>
        <w:t>供应商管理</w:t>
      </w:r>
      <w:r>
        <w:t>：添加和维护供应商信息，配置结算方式</w:t>
      </w:r>
    </w:p>
    <w:p>
      <w:pPr>
        <w:ind w:left="420" w:hanging="420"/>
      </w:pPr>
      <w:r>
        <w:t xml:space="preserve">• </w:t>
      </w:r>
      <w:r>
        <w:rPr>
          <w:b/>
        </w:rPr>
        <w:t>产品配置</w:t>
      </w:r>
      <w:r>
        <w:t>：设置产品公共折扣和售价，控制产品上下架</w:t>
      </w:r>
    </w:p>
    <w:p>
      <w:pPr>
        <w:ind w:left="420" w:hanging="420"/>
      </w:pPr>
      <w:r>
        <w:t xml:space="preserve">• </w:t>
      </w:r>
      <w:r>
        <w:rPr>
          <w:b/>
        </w:rPr>
        <w:t>促销活动</w:t>
      </w:r>
      <w:r>
        <w:t>：创建促销活动，配置活动专属产品折扣</w:t>
      </w:r>
    </w:p>
    <w:p>
      <w:pPr>
        <w:ind w:left="420" w:hanging="420"/>
      </w:pPr>
      <w:r>
        <w:t xml:space="preserve">• </w:t>
      </w:r>
      <w:r>
        <w:rPr>
          <w:b/>
        </w:rPr>
        <w:t>数据分析</w:t>
      </w:r>
      <w:r>
        <w:t>：查看部门KPI、运营KPI、利润分析、收入分析等经营数据</w:t>
      </w:r>
    </w:p>
    <w:p>
      <w:pPr>
        <w:pStyle w:val="3"/>
      </w:pPr>
      <w:r>
        <w:t>审批管理模块</w:t>
      </w:r>
    </w:p>
    <w:p>
      <w:r>
        <w:t>系统所有审批流程均通过钉钉推送至对应角色账号，支持以下审批类型：</w:t>
      </w:r>
    </w:p>
    <w:p>
      <w:pPr>
        <w:ind w:left="420" w:hanging="420"/>
      </w:pPr>
      <w:r>
        <w:t xml:space="preserve">• </w:t>
      </w:r>
      <w:r>
        <w:rPr>
          <w:b/>
        </w:rPr>
        <w:t>开票审批</w:t>
      </w:r>
      <w:r>
        <w:t>：客户开票申请</w:t>
      </w:r>
    </w:p>
    <w:p>
      <w:pPr>
        <w:ind w:left="420" w:hanging="420"/>
      </w:pPr>
      <w:r>
        <w:t xml:space="preserve">• </w:t>
      </w:r>
      <w:r>
        <w:rPr>
          <w:b/>
        </w:rPr>
        <w:t>财务审批</w:t>
      </w:r>
      <w:r>
        <w:t>：充值、提现、冲账等财务操作</w:t>
      </w:r>
    </w:p>
    <w:p>
      <w:pPr>
        <w:ind w:left="420" w:hanging="420"/>
      </w:pPr>
      <w:r>
        <w:t xml:space="preserve">• </w:t>
      </w:r>
      <w:r>
        <w:rPr>
          <w:b/>
        </w:rPr>
        <w:t>产品配置审批</w:t>
      </w:r>
      <w:r>
        <w:t>：分销商产品配置、客户产品配置</w:t>
      </w:r>
    </w:p>
    <w:p>
      <w:pPr>
        <w:ind w:left="420" w:hanging="420"/>
      </w:pPr>
      <w:r>
        <w:t xml:space="preserve">• </w:t>
      </w:r>
      <w:r>
        <w:rPr>
          <w:b/>
        </w:rPr>
        <w:t>结算审批</w:t>
      </w:r>
      <w:r>
        <w:t>：供应商结算统计</w:t>
      </w:r>
    </w:p>
    <w:p>
      <w:r>
        <w:t>需在运营角色中预先配置钉钉参数（AppKey、Token等）以确保审批流程正常运行。</w:t>
      </w:r>
    </w:p>
    <w:p>
      <w:pPr>
        <w:pStyle w:val="3"/>
      </w:pPr>
      <w:r>
        <w:t>RBAC权限管理</w:t>
      </w:r>
    </w:p>
    <w:p>
      <w:r>
        <w:t>系统采用基于角色的访问控制（RBAC）模型，通过五张核心表实现精细化权限管理：</w:t>
      </w:r>
    </w:p>
    <w:p>
      <w:pPr>
        <w:ind w:left="420" w:hanging="420"/>
      </w:pPr>
      <w:r>
        <w:t xml:space="preserve">• </w:t>
      </w:r>
      <w:r>
        <w:rPr>
          <w:b/>
        </w:rPr>
        <w:t>用户表</w:t>
      </w:r>
      <w:r>
        <w:t>：存储系统用户信息</w:t>
      </w:r>
    </w:p>
    <w:p>
      <w:pPr>
        <w:ind w:left="420" w:hanging="420"/>
      </w:pPr>
      <w:r>
        <w:t xml:space="preserve">• </w:t>
      </w:r>
      <w:r>
        <w:rPr>
          <w:b/>
        </w:rPr>
        <w:t>角色表</w:t>
      </w:r>
      <w:r>
        <w:t>：定义系统角色（如管理员、销售、运营等）</w:t>
      </w:r>
    </w:p>
    <w:p>
      <w:pPr>
        <w:ind w:left="420" w:hanging="420"/>
      </w:pPr>
      <w:r>
        <w:t xml:space="preserve">• </w:t>
      </w:r>
      <w:r>
        <w:rPr>
          <w:b/>
        </w:rPr>
        <w:t>权限表</w:t>
      </w:r>
      <w:r>
        <w:t>：定义系统功能权限点</w:t>
      </w:r>
    </w:p>
    <w:p>
      <w:pPr>
        <w:ind w:left="420" w:hanging="420"/>
      </w:pPr>
      <w:r>
        <w:t xml:space="preserve">• </w:t>
      </w:r>
      <w:r>
        <w:rPr>
          <w:b/>
        </w:rPr>
        <w:t>部门表</w:t>
      </w:r>
      <w:r>
        <w:t>：组织架构管理</w:t>
      </w:r>
    </w:p>
    <w:p>
      <w:pPr>
        <w:ind w:left="420" w:hanging="420"/>
      </w:pPr>
      <w:r>
        <w:t xml:space="preserve">• </w:t>
      </w:r>
      <w:r>
        <w:rPr>
          <w:b/>
        </w:rPr>
        <w:t>角色权限关联表</w:t>
      </w:r>
      <w:r>
        <w:t>：实现角色与权限的多对多关系</w:t>
      </w:r>
    </w:p>
    <w:p>
      <w:r>
        <w:t>用户配置角色，角色配置部门，角色配置权限，从而实现“用户-角色-权限”的三级权限控制体系。</w:t>
      </w:r>
    </w:p>
    <w:p>
      <w:r>
        <w:br w:type="page"/>
      </w:r>
    </w:p>
    <w:p>
      <w:pPr>
        <w:pStyle w:val="2"/>
      </w:pPr>
      <w:bookmarkStart w:id="4" w:name="_Toc004"/>
      <w:r>
        <w:t>财务管理</w:t>
      </w:r>
      <w:bookmarkEnd w:id="4"/>
    </w:p>
    <w:p>
      <w:pPr>
        <w:pStyle w:val="3"/>
      </w:pPr>
      <w:r>
        <w:t>充值方式</w:t>
      </w:r>
    </w:p>
    <w:p>
      <w:pPr>
        <w:keepNext/>
        <w:spacing w:before="200"/>
      </w:pPr>
      <w:r>
        <w:t>系统支持三种充值渠道：</w:t>
      </w:r>
    </w:p>
    <w:tbl>
      <w:tblPr>
        <w:tblStyle w:val="7"/>
        <w:tblW w:w="5000" w:type="pct"/>
        <w:tblInd w:w="0" w:type="dxa"/>
        <w:tblBorders>
          <w:top w:val="single" w:color="2563EB" w:sz="12" w:space="0"/>
          <w:left w:val="none" w:color="auto" w:sz="0" w:space="0"/>
          <w:bottom w:val="single" w:color="2563EB" w:sz="12" w:space="0"/>
          <w:right w:val="none" w:color="auto" w:sz="0" w:space="0"/>
          <w:insideH w:val="single" w:color="BFDBFE" w:sz="4" w:space="0"/>
          <w:insideV w:val="none" w:color="auto" w:sz="0" w:space="0"/>
        </w:tblBorders>
        <w:tblLayout w:type="autofit"/>
        <w:tblCellMar>
          <w:top w:w="100" w:type="dxa"/>
          <w:left w:w="150" w:type="dxa"/>
          <w:bottom w:w="100" w:type="dxa"/>
          <w:right w:w="150" w:type="dxa"/>
        </w:tblCellMar>
      </w:tblPr>
      <w:tblGrid>
        <w:gridCol w:w="2194"/>
        <w:gridCol w:w="3840"/>
        <w:gridCol w:w="3292"/>
      </w:tblGrid>
      <w:tr>
        <w:tblPrEx>
          <w:tblBorders>
            <w:top w:val="single" w:color="2563EB" w:sz="12" w:space="0"/>
            <w:left w:val="none" w:color="auto" w:sz="0" w:space="0"/>
            <w:bottom w:val="single" w:color="2563EB" w:sz="12" w:space="0"/>
            <w:right w:val="none" w:color="auto" w:sz="0" w:space="0"/>
            <w:insideH w:val="single" w:color="BFDBFE" w:sz="4" w:space="0"/>
            <w:insideV w:val="none" w:color="auto" w:sz="0" w:space="0"/>
          </w:tblBorders>
          <w:tblCellMar>
            <w:top w:w="100" w:type="dxa"/>
            <w:left w:w="150" w:type="dxa"/>
            <w:bottom w:w="100" w:type="dxa"/>
            <w:right w:w="150" w:type="dxa"/>
          </w:tblCellMar>
        </w:tblPrEx>
        <w:trPr>
          <w:trHeight w:val="400" w:hRule="atLeast"/>
          <w:tblHeader/>
        </w:trPr>
        <w:tc>
          <w:tcPr>
            <w:tcW w:w="2000" w:type="dxa"/>
            <w:tcBorders>
              <w:bottom w:val="single" w:color="2563EB" w:sz="6" w:space="0"/>
            </w:tcBorders>
            <w:shd w:val="clear" w:color="auto" w:fill="EFF6FF"/>
            <w:vAlign w:val="center"/>
          </w:tcPr>
          <w:p>
            <w:pPr>
              <w:spacing w:before="0" w:after="0"/>
              <w:jc w:val="center"/>
            </w:pPr>
            <w:r>
              <w:rPr>
                <w:b/>
                <w:color w:val="1E3A5F"/>
                <w:sz w:val="21"/>
              </w:rPr>
              <w:t>充值方式</w:t>
            </w:r>
          </w:p>
        </w:tc>
        <w:tc>
          <w:tcPr>
            <w:tcW w:w="3500" w:type="dxa"/>
            <w:tcBorders>
              <w:bottom w:val="single" w:color="2563EB" w:sz="6" w:space="0"/>
            </w:tcBorders>
            <w:shd w:val="clear" w:color="auto" w:fill="EFF6FF"/>
            <w:vAlign w:val="center"/>
          </w:tcPr>
          <w:p>
            <w:pPr>
              <w:spacing w:before="0" w:after="0"/>
              <w:jc w:val="center"/>
            </w:pPr>
            <w:r>
              <w:rPr>
                <w:b/>
                <w:color w:val="1E3A5F"/>
                <w:sz w:val="21"/>
              </w:rPr>
              <w:t>说明</w:t>
            </w:r>
          </w:p>
        </w:tc>
        <w:tc>
          <w:tcPr>
            <w:tcW w:w="3000" w:type="dxa"/>
            <w:tcBorders>
              <w:bottom w:val="single" w:color="2563EB" w:sz="6" w:space="0"/>
            </w:tcBorders>
            <w:shd w:val="clear" w:color="auto" w:fill="EFF6FF"/>
            <w:vAlign w:val="center"/>
          </w:tcPr>
          <w:p>
            <w:pPr>
              <w:spacing w:before="0" w:after="0"/>
              <w:jc w:val="center"/>
            </w:pPr>
            <w:r>
              <w:rPr>
                <w:b/>
                <w:color w:val="1E3A5F"/>
                <w:sz w:val="21"/>
              </w:rPr>
              <w:t>适用场景</w:t>
            </w:r>
          </w:p>
        </w:tc>
      </w:tr>
      <w:tr>
        <w:tblPrEx>
          <w:tblBorders>
            <w:top w:val="single" w:color="2563EB" w:sz="12" w:space="0"/>
            <w:left w:val="none" w:color="auto" w:sz="0" w:space="0"/>
            <w:bottom w:val="single" w:color="2563EB" w:sz="12" w:space="0"/>
            <w:right w:val="none" w:color="auto" w:sz="0" w:space="0"/>
            <w:insideH w:val="single" w:color="BFDBFE" w:sz="4" w:space="0"/>
            <w:insideV w:val="none" w:color="auto" w:sz="0" w:space="0"/>
          </w:tblBorders>
          <w:tblCellMar>
            <w:top w:w="100" w:type="dxa"/>
            <w:left w:w="150" w:type="dxa"/>
            <w:bottom w:w="100" w:type="dxa"/>
            <w:right w:w="150" w:type="dxa"/>
          </w:tblCellMar>
        </w:tblPrEx>
        <w:trPr>
          <w:trHeight w:val="380" w:hRule="atLeast"/>
        </w:trPr>
        <w:tc>
          <w:tcPr>
            <w:tcW w:w="2000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color w:val="1F2937"/>
                <w:sz w:val="21"/>
              </w:rPr>
              <w:t>线上充值</w:t>
            </w:r>
          </w:p>
        </w:tc>
        <w:tc>
          <w:tcPr>
            <w:tcW w:w="3500" w:type="dxa"/>
            <w:vAlign w:val="center"/>
          </w:tcPr>
          <w:p>
            <w:pPr>
              <w:spacing w:before="0" w:after="0"/>
              <w:jc w:val="left"/>
            </w:pPr>
            <w:r>
              <w:rPr>
                <w:color w:val="1F2937"/>
                <w:sz w:val="21"/>
              </w:rPr>
              <w:t>支付宝/微信支付，即时到账</w:t>
            </w:r>
          </w:p>
        </w:tc>
        <w:tc>
          <w:tcPr>
            <w:tcW w:w="3000" w:type="dxa"/>
            <w:vAlign w:val="center"/>
          </w:tcPr>
          <w:p>
            <w:pPr>
              <w:spacing w:before="0" w:after="0"/>
              <w:jc w:val="left"/>
            </w:pPr>
            <w:r>
              <w:rPr>
                <w:color w:val="1F2937"/>
                <w:sz w:val="21"/>
              </w:rPr>
              <w:t>个人客户、小额充值</w:t>
            </w:r>
          </w:p>
        </w:tc>
      </w:tr>
      <w:tr>
        <w:tblPrEx>
          <w:tblBorders>
            <w:top w:val="single" w:color="2563EB" w:sz="12" w:space="0"/>
            <w:left w:val="none" w:color="auto" w:sz="0" w:space="0"/>
            <w:bottom w:val="single" w:color="2563EB" w:sz="12" w:space="0"/>
            <w:right w:val="none" w:color="auto" w:sz="0" w:space="0"/>
            <w:insideH w:val="single" w:color="BFDBFE" w:sz="4" w:space="0"/>
            <w:insideV w:val="none" w:color="auto" w:sz="0" w:space="0"/>
          </w:tblBorders>
          <w:tblCellMar>
            <w:top w:w="100" w:type="dxa"/>
            <w:left w:w="150" w:type="dxa"/>
            <w:bottom w:w="100" w:type="dxa"/>
            <w:right w:w="150" w:type="dxa"/>
          </w:tblCellMar>
        </w:tblPrEx>
        <w:trPr>
          <w:trHeight w:val="380" w:hRule="atLeast"/>
        </w:trPr>
        <w:tc>
          <w:tcPr>
            <w:tcW w:w="2000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color w:val="1F2937"/>
                <w:sz w:val="21"/>
              </w:rPr>
              <w:t>线下充值</w:t>
            </w:r>
          </w:p>
        </w:tc>
        <w:tc>
          <w:tcPr>
            <w:tcW w:w="3500" w:type="dxa"/>
            <w:vAlign w:val="center"/>
          </w:tcPr>
          <w:p>
            <w:pPr>
              <w:spacing w:before="0" w:after="0"/>
              <w:jc w:val="left"/>
            </w:pPr>
            <w:r>
              <w:rPr>
                <w:color w:val="1F2937"/>
                <w:sz w:val="21"/>
              </w:rPr>
              <w:t>银行转账，人工确认到账</w:t>
            </w:r>
          </w:p>
        </w:tc>
        <w:tc>
          <w:tcPr>
            <w:tcW w:w="3000" w:type="dxa"/>
            <w:vAlign w:val="center"/>
          </w:tcPr>
          <w:p>
            <w:pPr>
              <w:spacing w:before="0" w:after="0"/>
              <w:jc w:val="left"/>
            </w:pPr>
            <w:r>
              <w:rPr>
                <w:color w:val="1F2937"/>
                <w:sz w:val="21"/>
              </w:rPr>
              <w:t>企业客户、大额充值</w:t>
            </w:r>
          </w:p>
        </w:tc>
      </w:tr>
      <w:tr>
        <w:tblPrEx>
          <w:tblBorders>
            <w:top w:val="single" w:color="2563EB" w:sz="12" w:space="0"/>
            <w:left w:val="none" w:color="auto" w:sz="0" w:space="0"/>
            <w:bottom w:val="single" w:color="2563EB" w:sz="12" w:space="0"/>
            <w:right w:val="none" w:color="auto" w:sz="0" w:space="0"/>
            <w:insideH w:val="single" w:color="BFDBFE" w:sz="4" w:space="0"/>
            <w:insideV w:val="none" w:color="auto" w:sz="0" w:space="0"/>
          </w:tblBorders>
          <w:tblCellMar>
            <w:top w:w="100" w:type="dxa"/>
            <w:left w:w="150" w:type="dxa"/>
            <w:bottom w:w="100" w:type="dxa"/>
            <w:right w:w="150" w:type="dxa"/>
          </w:tblCellMar>
        </w:tblPrEx>
        <w:trPr>
          <w:trHeight w:val="380" w:hRule="atLeast"/>
        </w:trPr>
        <w:tc>
          <w:tcPr>
            <w:tcW w:w="2000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color w:val="1F2937"/>
                <w:sz w:val="21"/>
              </w:rPr>
              <w:t>对公打款</w:t>
            </w:r>
          </w:p>
        </w:tc>
        <w:tc>
          <w:tcPr>
            <w:tcW w:w="3500" w:type="dxa"/>
            <w:vAlign w:val="center"/>
          </w:tcPr>
          <w:p>
            <w:pPr>
              <w:spacing w:before="0" w:after="0"/>
              <w:jc w:val="left"/>
            </w:pPr>
            <w:r>
              <w:rPr>
                <w:color w:val="1F2937"/>
                <w:sz w:val="21"/>
              </w:rPr>
              <w:t>对公账户转账，财务审核</w:t>
            </w:r>
          </w:p>
        </w:tc>
        <w:tc>
          <w:tcPr>
            <w:tcW w:w="3000" w:type="dxa"/>
            <w:vAlign w:val="center"/>
          </w:tcPr>
          <w:p>
            <w:pPr>
              <w:spacing w:before="0" w:after="0"/>
              <w:jc w:val="left"/>
            </w:pPr>
            <w:r>
              <w:rPr>
                <w:color w:val="1F2937"/>
                <w:sz w:val="21"/>
              </w:rPr>
              <w:t>企业客户、合同付款</w:t>
            </w:r>
          </w:p>
        </w:tc>
      </w:tr>
    </w:tbl>
    <w:p>
      <w:pPr>
        <w:pStyle w:val="3"/>
      </w:pPr>
      <w:r>
        <w:t>退款提现</w:t>
      </w:r>
    </w:p>
    <w:p>
      <w:r>
        <w:t>系统提供两种退款方式：</w:t>
      </w:r>
    </w:p>
    <w:p>
      <w:pPr>
        <w:pStyle w:val="4"/>
      </w:pPr>
      <w:r>
        <w:t>方式一：原路退回</w:t>
      </w:r>
    </w:p>
    <w:p>
      <w:r>
        <w:t>通过支付宝充值的用户，可选择提现至原支付宝账号。系统自动将金额原路退回。</w:t>
      </w:r>
    </w:p>
    <w:p>
      <w:pPr>
        <w:pStyle w:val="4"/>
      </w:pPr>
      <w:r>
        <w:t>方式二：线下退款</w:t>
      </w:r>
    </w:p>
    <w:p>
      <w:r>
        <w:t>通过线下充值或对公打款的用户，需联系销售提交提现申请，经财务审核通过后，由财务手动线下退款。</w:t>
      </w:r>
    </w:p>
    <w:p>
      <w:r>
        <w:br w:type="page"/>
      </w:r>
    </w:p>
    <w:p>
      <w:pPr>
        <w:pStyle w:val="2"/>
      </w:pPr>
      <w:bookmarkStart w:id="5" w:name="_Toc005"/>
      <w:r>
        <w:t>系统安全</w:t>
      </w:r>
      <w:bookmarkEnd w:id="5"/>
    </w:p>
    <w:p>
      <w:pPr>
        <w:pStyle w:val="3"/>
      </w:pPr>
      <w:r>
        <w:t>数据库安全</w:t>
      </w:r>
    </w:p>
    <w:p>
      <w:r>
        <w:t>数据库采用MySQL双机热备架构，实现双活机制，确保数据的完整性与安全性。</w:t>
      </w:r>
    </w:p>
    <w:p>
      <w:pPr>
        <w:ind w:left="420" w:hanging="420"/>
      </w:pPr>
      <w:r>
        <w:t xml:space="preserve">• </w:t>
      </w:r>
      <w:r>
        <w:rPr>
          <w:b/>
        </w:rPr>
        <w:t>性能卓越</w:t>
      </w:r>
      <w:r>
        <w:t>：优化的查询引擎，支持大规模并发访问</w:t>
      </w:r>
    </w:p>
    <w:p>
      <w:pPr>
        <w:ind w:left="420" w:hanging="420"/>
      </w:pPr>
      <w:r>
        <w:t xml:space="preserve">• </w:t>
      </w:r>
      <w:r>
        <w:rPr>
          <w:b/>
        </w:rPr>
        <w:t>高可用性</w:t>
      </w:r>
      <w:r>
        <w:t>：主从复制+故障自动切换，保障服务连续性</w:t>
      </w:r>
    </w:p>
    <w:p>
      <w:pPr>
        <w:ind w:left="420" w:hanging="420"/>
      </w:pPr>
      <w:r>
        <w:t xml:space="preserve">• </w:t>
      </w:r>
      <w:r>
        <w:rPr>
          <w:b/>
        </w:rPr>
        <w:t>易于管理</w:t>
      </w:r>
      <w:r>
        <w:t>：完善的监控告警体系，简化运维工作</w:t>
      </w:r>
    </w:p>
    <w:p>
      <w:pPr>
        <w:ind w:left="420" w:hanging="420"/>
      </w:pPr>
      <w:r>
        <w:t xml:space="preserve">• </w:t>
      </w:r>
      <w:r>
        <w:rPr>
          <w:b/>
        </w:rPr>
        <w:t>高可扩展性</w:t>
      </w:r>
      <w:r>
        <w:t>：支持水平扩展，满足业务增长需求</w:t>
      </w:r>
    </w:p>
    <w:p>
      <w:pPr>
        <w:ind w:left="420" w:hanging="420"/>
      </w:pPr>
      <w:r>
        <w:t xml:space="preserve">• </w:t>
      </w:r>
      <w:r>
        <w:rPr>
          <w:b/>
        </w:rPr>
        <w:t>安全性高</w:t>
      </w:r>
      <w:r>
        <w:t>：支持SSL加密传输、访问控制、审计日志</w:t>
      </w:r>
    </w:p>
    <w:p>
      <w:pPr>
        <w:pStyle w:val="3"/>
      </w:pPr>
      <w:r>
        <w:t>堡垒机管理</w:t>
      </w:r>
    </w:p>
    <w:p>
      <w:r>
        <w:t>系统采用堡垒机进行服务器安全管控，主要特性包括：</w:t>
      </w:r>
    </w:p>
    <w:p>
      <w:pPr>
        <w:ind w:left="420" w:hanging="420"/>
      </w:pPr>
      <w:r>
        <w:t xml:space="preserve">• </w:t>
      </w:r>
      <w:r>
        <w:rPr>
          <w:b/>
        </w:rPr>
        <w:t>安全隔离</w:t>
      </w:r>
      <w:r>
        <w:t>：在用户和服务器之间建立安全通道，实现访问控制</w:t>
      </w:r>
    </w:p>
    <w:p>
      <w:pPr>
        <w:ind w:left="420" w:hanging="420"/>
      </w:pPr>
      <w:r>
        <w:t xml:space="preserve">• </w:t>
      </w:r>
      <w:r>
        <w:rPr>
          <w:b/>
        </w:rPr>
        <w:t>操作审计</w:t>
      </w:r>
      <w:r>
        <w:t>：完整记录用户操作日志，支持查询和分析</w:t>
      </w:r>
    </w:p>
    <w:p>
      <w:pPr>
        <w:ind w:left="420" w:hanging="420"/>
      </w:pPr>
      <w:r>
        <w:t xml:space="preserve">• </w:t>
      </w:r>
      <w:r>
        <w:rPr>
          <w:b/>
        </w:rPr>
        <w:t>集中管理</w:t>
      </w:r>
      <w:r>
        <w:t>：统一管理多服务器账号，支持密码自动轮换</w:t>
      </w:r>
    </w:p>
    <w:p>
      <w:pPr>
        <w:ind w:left="420" w:hanging="420"/>
      </w:pPr>
      <w:r>
        <w:t xml:space="preserve">• </w:t>
      </w:r>
      <w:r>
        <w:rPr>
          <w:b/>
        </w:rPr>
        <w:t>实时监控</w:t>
      </w:r>
      <w:r>
        <w:t>：异常操作实时告警，快速响应安全事件</w:t>
      </w:r>
    </w:p>
    <w:p>
      <w:r>
        <w:br w:type="page"/>
      </w:r>
    </w:p>
    <w:p>
      <w:pPr>
        <w:pStyle w:val="2"/>
      </w:pPr>
      <w:bookmarkStart w:id="6" w:name="_Toc006"/>
      <w:r>
        <w:t>监控运维</w:t>
      </w:r>
      <w:bookmarkEnd w:id="6"/>
    </w:p>
    <w:p>
      <w:r>
        <w:t>系统采用Zabbix + Grafana构建全方位监控体系，实现对服务器、数据库和Web应用的实时监控和可视化展示。</w:t>
      </w:r>
    </w:p>
    <w:p>
      <w:pPr>
        <w:pStyle w:val="3"/>
      </w:pPr>
      <w:r>
        <w:t>监控能力</w:t>
      </w:r>
    </w:p>
    <w:p>
      <w:pPr>
        <w:ind w:left="420" w:hanging="420"/>
      </w:pPr>
      <w:r>
        <w:t xml:space="preserve">• </w:t>
      </w:r>
      <w:r>
        <w:rPr>
          <w:b/>
        </w:rPr>
        <w:t>个性化规则</w:t>
      </w:r>
      <w:r>
        <w:t>：针对不同服务器定制监控策略</w:t>
      </w:r>
    </w:p>
    <w:p>
      <w:pPr>
        <w:ind w:left="420" w:hanging="420"/>
      </w:pPr>
      <w:r>
        <w:t xml:space="preserve">• </w:t>
      </w:r>
      <w:r>
        <w:rPr>
          <w:b/>
        </w:rPr>
        <w:t>多渠道告警</w:t>
      </w:r>
      <w:r>
        <w:t>：支持邮件、短信、钉钉等多种告警方式</w:t>
      </w:r>
    </w:p>
    <w:p>
      <w:pPr>
        <w:ind w:left="420" w:hanging="420"/>
      </w:pPr>
      <w:r>
        <w:t xml:space="preserve">• </w:t>
      </w:r>
      <w:r>
        <w:rPr>
          <w:b/>
        </w:rPr>
        <w:t>自愈能力</w:t>
      </w:r>
      <w:r>
        <w:t>：关键指标异常时自动执行修复脚本</w:t>
      </w:r>
    </w:p>
    <w:p>
      <w:pPr>
        <w:ind w:left="420" w:hanging="420"/>
      </w:pPr>
      <w:r>
        <w:t xml:space="preserve">• </w:t>
      </w:r>
      <w:r>
        <w:rPr>
          <w:b/>
        </w:rPr>
        <w:t>秒级监控</w:t>
      </w:r>
      <w:r>
        <w:t>：Web服务实现秒级异常检测和自动重启</w:t>
      </w:r>
    </w:p>
    <w:p>
      <w:pPr>
        <w:ind w:left="420" w:hanging="420"/>
      </w:pPr>
      <w:r>
        <w:t xml:space="preserve">• </w:t>
      </w:r>
      <w:r>
        <w:rPr>
          <w:b/>
        </w:rPr>
        <w:t>大屏展示</w:t>
      </w:r>
      <w:r>
        <w:t>：多屏展示CPU、内存、带宽、进程等核心指标</w:t>
      </w:r>
    </w:p>
    <w:p>
      <w:pPr>
        <w:sectPr>
          <w:headerReference r:id="rId5" w:type="default"/>
          <w:footerReference r:id="rId6" w:type="default"/>
          <w:pgSz w:w="11906" w:h="16838"/>
          <w:pgMar w:top="1800" w:right="1440" w:bottom="1440" w:left="1440" w:header="720" w:footer="720" w:gutter="0"/>
          <w:cols w:space="720" w:num="1"/>
        </w:sectPr>
      </w:pPr>
    </w:p>
    <w:p>
      <w: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-104140</wp:posOffset>
            </wp:positionH>
            <wp:positionV relativeFrom="page">
              <wp:posOffset>-76200</wp:posOffset>
            </wp:positionV>
            <wp:extent cx="7721600" cy="10692130"/>
            <wp:effectExtent l="0" t="0" r="12700" b="13970"/>
            <wp:wrapNone/>
            <wp:docPr id="3" name="Backcover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ckcoverBackground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400"/>
        <w:ind w:left="0" w:leftChars="0" w:firstLine="0" w:firstLineChars="0"/>
        <w:jc w:val="both"/>
      </w:pPr>
    </w:p>
    <w:p>
      <w:pPr>
        <w:spacing w:after="200"/>
        <w:jc w:val="center"/>
        <w:rPr>
          <w:color w:val="6B7280"/>
          <w:sz w:val="21"/>
        </w:rPr>
      </w:pPr>
    </w:p>
    <w:p>
      <w:pPr>
        <w:spacing w:after="200"/>
        <w:jc w:val="center"/>
        <w:rPr>
          <w:color w:val="6B7280"/>
          <w:sz w:val="21"/>
        </w:rPr>
      </w:pPr>
    </w:p>
    <w:p>
      <w:pPr>
        <w:spacing w:after="200"/>
        <w:jc w:val="center"/>
        <w:rPr>
          <w:color w:val="6B7280"/>
          <w:sz w:val="21"/>
        </w:rPr>
      </w:pPr>
    </w:p>
    <w:p>
      <w:pPr>
        <w:spacing w:after="200"/>
        <w:jc w:val="center"/>
        <w:rPr>
          <w:color w:val="6B7280"/>
          <w:sz w:val="21"/>
        </w:rPr>
      </w:pPr>
    </w:p>
    <w:p>
      <w:pPr>
        <w:spacing w:after="200"/>
        <w:jc w:val="center"/>
        <w:rPr>
          <w:color w:val="6B7280"/>
          <w:sz w:val="24"/>
          <w:szCs w:val="24"/>
        </w:rPr>
      </w:pPr>
    </w:p>
    <w:p>
      <w:pPr>
        <w:spacing w:after="200"/>
        <w:jc w:val="center"/>
        <w:rPr>
          <w:color w:val="6B7280"/>
          <w:sz w:val="24"/>
          <w:szCs w:val="24"/>
        </w:rPr>
      </w:pPr>
    </w:p>
    <w:p>
      <w:pPr>
        <w:spacing w:after="200"/>
        <w:jc w:val="center"/>
        <w:rPr>
          <w:color w:val="6B7280"/>
          <w:sz w:val="24"/>
          <w:szCs w:val="24"/>
        </w:rPr>
      </w:pPr>
      <w:r>
        <w:rPr>
          <w:color w:val="6B7280"/>
          <w:sz w:val="24"/>
          <w:szCs w:val="24"/>
        </w:rPr>
        <w:t>Kboss - 云资源综合管理后台系统</w:t>
      </w:r>
    </w:p>
    <w:p>
      <w:pPr>
        <w:spacing w:after="200"/>
        <w:jc w:val="center"/>
        <w:rPr>
          <w:sz w:val="21"/>
          <w:szCs w:val="21"/>
        </w:rPr>
      </w:pPr>
      <w:r>
        <w:rPr>
          <w:color w:val="6B7280"/>
          <w:sz w:val="21"/>
          <w:szCs w:val="21"/>
        </w:rPr>
        <w:t>© 202</w:t>
      </w:r>
      <w:r>
        <w:rPr>
          <w:rFonts w:hint="eastAsia"/>
          <w:color w:val="6B7280"/>
          <w:sz w:val="21"/>
          <w:szCs w:val="21"/>
          <w:lang w:val="en-US" w:eastAsia="zh-CN"/>
        </w:rPr>
        <w:t>6</w:t>
      </w:r>
      <w:r>
        <w:rPr>
          <w:color w:val="6B7280"/>
          <w:sz w:val="21"/>
          <w:szCs w:val="21"/>
        </w:rPr>
        <w:t xml:space="preserve"> 版权所有</w:t>
      </w:r>
    </w:p>
    <w:sectPr>
      <w:pgSz w:w="11906" w:h="16838"/>
      <w:pgMar w:top="0" w:right="0" w:bottom="0" w:left="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/ 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</w:pPr>
      <w:r>
        <w:separator/>
      </w:r>
    </w:p>
  </w:footnote>
  <w:footnote w:type="continuationSeparator" w:id="1">
    <w:p>
      <w:pPr>
        <w:spacing w:before="0" w:after="0" w:line="36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right"/>
    </w:pPr>
    <w:r>
      <w:rPr>
        <w:color w:val="6B7280"/>
        <w:sz w:val="18"/>
      </w:rPr>
      <w:t>Kboss产品技术文档</w:t>
    </w:r>
    <w:r>
      <w:rPr>
        <w:color w:val="2563EB"/>
        <w:sz w:val="18"/>
      </w:rPr>
      <w:t xml:space="preserve">  |  </w:t>
    </w:r>
    <w:r>
      <w:rPr>
        <w:color w:val="6B7280"/>
        <w:sz w:val="18"/>
      </w:rPr>
      <w:t>开源云科技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singleLevel"/>
    <w:tmpl w:val="0053208E"/>
    <w:lvl w:ilvl="0" w:tentative="0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splitPgBreakAndParaMark/>
    <w:compatSetting w:name="compatibilityMode" w:uri="http://schemas.microsoft.com/office/word" w:val="12"/>
  </w:compat>
  <w:docVars>
    <w:docVar w:name="commondata" w:val="eyJoZGlkIjoiNmZlZDFjMDg2YzBkODMxNjkwNDk3YzQ0NWMwODBkZjkifQ=="/>
  </w:docVars>
  <w:rsids>
    <w:rsidRoot w:val="00000000"/>
    <w:rsid w:val="03BA4DCC"/>
    <w:rsid w:val="0A0F28CC"/>
    <w:rsid w:val="21F6522D"/>
    <w:rsid w:val="24EF2560"/>
    <w:rsid w:val="28B97DC4"/>
    <w:rsid w:val="2CE774CF"/>
    <w:rsid w:val="3319531B"/>
    <w:rsid w:val="3ADC3318"/>
    <w:rsid w:val="442570D8"/>
    <w:rsid w:val="4B3731BB"/>
    <w:rsid w:val="669F0930"/>
    <w:rsid w:val="74FB2A94"/>
    <w:rsid w:val="7F025BA5"/>
    <w:rsid w:val="7F2826D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360" w:lineRule="auto"/>
      <w:ind w:firstLine="420"/>
    </w:pPr>
    <w:rPr>
      <w:rFonts w:ascii="Calibri" w:hAnsi="Calibri" w:eastAsia="微软雅黑" w:cs="Times New Roman"/>
      <w:color w:val="1F2937"/>
      <w:sz w:val="21"/>
      <w:szCs w:val="22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600" w:after="300" w:line="240" w:lineRule="auto"/>
      <w:ind w:firstLine="0"/>
      <w:outlineLvl w:val="0"/>
    </w:pPr>
    <w:rPr>
      <w:rFonts w:eastAsia="黑体"/>
      <w:b/>
      <w:color w:val="2563EB"/>
      <w:sz w:val="32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400" w:after="200"/>
      <w:ind w:firstLine="0"/>
      <w:outlineLvl w:val="1"/>
    </w:pPr>
    <w:rPr>
      <w:rFonts w:eastAsia="黑体"/>
      <w:b/>
      <w:color w:val="1E3A5F"/>
      <w:sz w:val="28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80" w:after="120"/>
      <w:ind w:firstLine="0"/>
      <w:outlineLvl w:val="2"/>
    </w:pPr>
    <w:rPr>
      <w:b/>
      <w:color w:val="3B82F6"/>
      <w:sz w:val="24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1"/>
    <w:basedOn w:val="1"/>
    <w:next w:val="1"/>
    <w:qFormat/>
    <w:uiPriority w:val="0"/>
    <w:pPr>
      <w:tabs>
        <w:tab w:val="right" w:leader="dot" w:pos="9350"/>
      </w:tabs>
      <w:spacing w:before="200" w:after="60"/>
      <w:ind w:firstLine="0"/>
    </w:pPr>
    <w:rPr>
      <w:b/>
      <w:color w:val="1E3A5F"/>
    </w:rPr>
  </w:style>
  <w:style w:type="paragraph" w:styleId="6">
    <w:name w:val="toc 2"/>
    <w:basedOn w:val="1"/>
    <w:next w:val="1"/>
    <w:qFormat/>
    <w:uiPriority w:val="0"/>
    <w:pPr>
      <w:tabs>
        <w:tab w:val="right" w:leader="dot" w:pos="9350"/>
      </w:tabs>
      <w:spacing w:before="60" w:after="60"/>
      <w:ind w:left="420" w:firstLine="0"/>
    </w:pPr>
    <w:rPr>
      <w:color w:val="6B7280"/>
    </w:r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20</Pages>
  <Words>5773</Words>
  <Characters>6271</Characters>
  <TotalTime>38</TotalTime>
  <ScaleCrop>false</ScaleCrop>
  <LinksUpToDate>false</LinksUpToDate>
  <CharactersWithSpaces>6367</CharactersWithSpaces>
  <Application>WPS Office_11.1.0.14309_F1E327BC-269C-435d-A152-05C5408002CA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2026-01-27T06:40:00Z</dcterms:created>
  <dc:creator>Admin</dc:creator>
  <cp:lastModifiedBy>WPS_1713791458</cp:lastModifiedBy>
  <dcterms:modified xsi:type="dcterms:W3CDTF">2026-01-27T07:35:25Z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CF702D9A9CDC409381CFED9F6E1E6AC6_12</vt:lpwstr>
  </property>
</Properties>
</file>